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433395E2"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DA730B">
        <w:rPr>
          <w:b/>
          <w:noProof/>
          <w:sz w:val="24"/>
        </w:rPr>
        <w:t>5</w:t>
      </w:r>
      <w:r w:rsidR="00FA5152">
        <w:rPr>
          <w:b/>
          <w:noProof/>
          <w:sz w:val="24"/>
        </w:rPr>
        <w:t>-e</w:t>
      </w:r>
      <w:r w:rsidR="00DC5180" w:rsidRPr="0033027D">
        <w:rPr>
          <w:b/>
          <w:noProof/>
          <w:sz w:val="24"/>
        </w:rPr>
        <w:tab/>
      </w:r>
      <w:r w:rsidR="00FA5152" w:rsidRPr="00FA5152">
        <w:rPr>
          <w:b/>
          <w:noProof/>
          <w:sz w:val="24"/>
        </w:rPr>
        <w:t>R4-20</w:t>
      </w:r>
      <w:r w:rsidR="00722C80">
        <w:rPr>
          <w:b/>
          <w:noProof/>
          <w:sz w:val="24"/>
        </w:rPr>
        <w:t>0</w:t>
      </w:r>
      <w:r w:rsidR="00DA1FE6">
        <w:rPr>
          <w:b/>
          <w:noProof/>
          <w:sz w:val="24"/>
        </w:rPr>
        <w:t>6431</w:t>
      </w:r>
    </w:p>
    <w:p w14:paraId="63C63B34" w14:textId="66D3CF42" w:rsidR="001512D7" w:rsidRPr="00566BC5" w:rsidRDefault="00566BC5" w:rsidP="00566BC5">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Pr>
          <w:rFonts w:eastAsia="宋体"/>
          <w:b/>
          <w:sz w:val="24"/>
          <w:szCs w:val="24"/>
          <w:lang w:eastAsia="zh-CN"/>
        </w:rPr>
        <w:t>0</w:t>
      </w:r>
      <w:r w:rsidR="00766B19">
        <w:rPr>
          <w:rFonts w:cs="Arial"/>
          <w:b/>
          <w:sz w:val="24"/>
        </w:rPr>
        <w:br/>
      </w:r>
    </w:p>
    <w:p w14:paraId="46DA2A95" w14:textId="048F4A1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05684">
        <w:rPr>
          <w:rFonts w:ascii="Arial" w:hAnsi="Arial" w:cs="Arial"/>
          <w:b/>
        </w:rPr>
        <w:t xml:space="preserve">Discussion on </w:t>
      </w:r>
      <w:r w:rsidR="004D1D2D">
        <w:rPr>
          <w:rFonts w:ascii="Arial" w:hAnsi="Arial" w:cs="Arial"/>
          <w:b/>
        </w:rPr>
        <w:t>SNR analysis for FR2 3D-MPAC</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2F8D27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A0421">
        <w:rPr>
          <w:rFonts w:ascii="Arial" w:hAnsi="Arial" w:cs="Arial"/>
          <w:b/>
        </w:rPr>
        <w:t>9.1.2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29628CE" w14:textId="3FD4D4F4" w:rsidR="002A1C01" w:rsidRDefault="004D1D2D" w:rsidP="008F13B3">
      <w:r>
        <w:t xml:space="preserve">In </w:t>
      </w:r>
      <w:r w:rsidR="00301DD0">
        <w:rPr>
          <w:rFonts w:hint="eastAsia"/>
          <w:lang w:eastAsia="zh-CN"/>
        </w:rPr>
        <w:t>recent</w:t>
      </w:r>
      <w:r>
        <w:t xml:space="preserve"> RAN4 meeting</w:t>
      </w:r>
      <w:r w:rsidR="00301DD0">
        <w:t>s</w:t>
      </w:r>
      <w:r>
        <w:t>, SNR range for FR2 3D-MPAC has been discussed and identified as the prerequisite for the decision of performance metric and RMC down-selection [</w:t>
      </w:r>
      <w:r w:rsidR="00CC11B4">
        <w:t>1</w:t>
      </w:r>
      <w:r>
        <w:t>]</w:t>
      </w:r>
      <w:r w:rsidR="00C36644">
        <w:t>. It was agreed in WF [2] that SNR analysis shall be based on the agreed probe layout and channel model:</w:t>
      </w:r>
    </w:p>
    <w:p w14:paraId="4CD6EB98" w14:textId="72EB0E08" w:rsidR="00C36644" w:rsidRDefault="00C36644" w:rsidP="008F13B3">
      <w:r>
        <w:rPr>
          <w:noProof/>
          <w:lang w:val="en-US" w:eastAsia="zh-CN"/>
        </w:rPr>
        <mc:AlternateContent>
          <mc:Choice Requires="wps">
            <w:drawing>
              <wp:inline distT="0" distB="0" distL="0" distR="0" wp14:anchorId="3E865014" wp14:editId="6F60794D">
                <wp:extent cx="6116320" cy="1377538"/>
                <wp:effectExtent l="0" t="0" r="17780" b="13335"/>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37753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27C335B9" w14:textId="77777777" w:rsidR="00D52B1D" w:rsidRPr="00C36644" w:rsidRDefault="00E83FB2" w:rsidP="00C36644">
                            <w:pPr>
                              <w:ind w:left="402"/>
                              <w:rPr>
                                <w:lang w:val="en-US"/>
                              </w:rPr>
                            </w:pPr>
                            <w:r w:rsidRPr="00C36644">
                              <w:rPr>
                                <w:b/>
                                <w:bCs/>
                                <w:u w:val="single"/>
                                <w:lang w:val="en-US"/>
                              </w:rPr>
                              <w:t>SNR analysis for 3D-MPAC</w:t>
                            </w:r>
                          </w:p>
                          <w:p w14:paraId="06F0CF7B" w14:textId="77777777" w:rsidR="00D52B1D" w:rsidRPr="00C36644" w:rsidRDefault="00E83FB2" w:rsidP="00C36644">
                            <w:pPr>
                              <w:pStyle w:val="af3"/>
                              <w:numPr>
                                <w:ilvl w:val="0"/>
                                <w:numId w:val="28"/>
                              </w:numPr>
                              <w:ind w:firstLine="400"/>
                              <w:rPr>
                                <w:lang w:val="en-US"/>
                              </w:rPr>
                            </w:pPr>
                            <w:r w:rsidRPr="00C36644">
                              <w:rPr>
                                <w:lang w:val="en-US"/>
                              </w:rPr>
                              <w:t xml:space="preserve">Feasible SNR range shall be analyzed based on the agreed probe layout and channel model. </w:t>
                            </w:r>
                          </w:p>
                          <w:p w14:paraId="5F5449EB" w14:textId="77777777" w:rsidR="00D52B1D" w:rsidRPr="00C36644" w:rsidRDefault="00E83FB2" w:rsidP="00C36644">
                            <w:pPr>
                              <w:pStyle w:val="af3"/>
                              <w:numPr>
                                <w:ilvl w:val="0"/>
                                <w:numId w:val="28"/>
                              </w:numPr>
                              <w:ind w:firstLine="400"/>
                              <w:rPr>
                                <w:lang w:val="en-US"/>
                              </w:rPr>
                            </w:pPr>
                            <w:r w:rsidRPr="00C36644">
                              <w:rPr>
                                <w:lang w:val="en-US"/>
                              </w:rPr>
                              <w:t xml:space="preserve">The required SNR for FR2 CDL-A InO and CDL-C UMi shall be evaluated. </w:t>
                            </w:r>
                          </w:p>
                          <w:p w14:paraId="3FA4AAF7" w14:textId="77777777" w:rsidR="00D52B1D" w:rsidRPr="00C36644" w:rsidRDefault="00E83FB2" w:rsidP="00C36644">
                            <w:pPr>
                              <w:pStyle w:val="af3"/>
                              <w:numPr>
                                <w:ilvl w:val="0"/>
                                <w:numId w:val="28"/>
                              </w:numPr>
                              <w:ind w:firstLine="400"/>
                              <w:rPr>
                                <w:lang w:val="en-US"/>
                              </w:rPr>
                            </w:pPr>
                            <w:r w:rsidRPr="00C36644">
                              <w:rPr>
                                <w:lang w:val="en-US"/>
                              </w:rPr>
                              <w:t xml:space="preserve">Companies are encouraged to provide the input on simulation assumptions and simulation results. </w:t>
                            </w:r>
                          </w:p>
                          <w:p w14:paraId="2B3FA378" w14:textId="77777777" w:rsidR="00D52B1D" w:rsidRPr="00C36644" w:rsidRDefault="00E83FB2" w:rsidP="00C36644">
                            <w:pPr>
                              <w:pStyle w:val="af3"/>
                              <w:numPr>
                                <w:ilvl w:val="0"/>
                                <w:numId w:val="28"/>
                              </w:numPr>
                              <w:ind w:firstLine="400"/>
                              <w:rPr>
                                <w:lang w:val="en-US"/>
                              </w:rPr>
                            </w:pPr>
                            <w:r w:rsidRPr="00C36644">
                              <w:rPr>
                                <w:lang w:val="en-US"/>
                              </w:rPr>
                              <w:t>Select RMC based on the feasible SNR range and required SNR.</w:t>
                            </w:r>
                          </w:p>
                        </w:txbxContent>
                      </wps:txbx>
                      <wps:bodyPr rot="0" vert="horz" wrap="square" lIns="91440" tIns="45720" rIns="91440" bIns="45720" anchor="t" anchorCtr="0" upright="1">
                        <a:noAutofit/>
                      </wps:bodyPr>
                    </wps:wsp>
                  </a:graphicData>
                </a:graphic>
              </wp:inline>
            </w:drawing>
          </mc:Choice>
          <mc:Fallback>
            <w:pict>
              <v:shapetype w14:anchorId="3E865014" id="_x0000_t202" coordsize="21600,21600" o:spt="202" path="m,l,21600r21600,l21600,xe">
                <v:stroke joinstyle="miter"/>
                <v:path gradientshapeok="t" o:connecttype="rect"/>
              </v:shapetype>
              <v:shape id="Text Box 5" o:spid="_x0000_s1026" type="#_x0000_t202" style="width:481.6pt;height:10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">
                <v:shadow opacity=".5" offset="6pt,6pt"/>
                <v:textbox>
                  <w:txbxContent>
                    <w:p w14:paraId="27C335B9" w14:textId="77777777" w:rsidR="00000000" w:rsidRPr="00C36644" w:rsidRDefault="00E83FB2" w:rsidP="00C36644">
                      <w:pPr>
                        <w:ind w:left="402"/>
                        <w:rPr>
                          <w:lang w:val="en-US"/>
                        </w:rPr>
                      </w:pPr>
                      <w:r w:rsidRPr="00C36644">
                        <w:rPr>
                          <w:b/>
                          <w:bCs/>
                          <w:u w:val="single"/>
                          <w:lang w:val="en-US"/>
                        </w:rPr>
                        <w:t>SNR analysis for 3D-MPAC</w:t>
                      </w:r>
                    </w:p>
                    <w:p w14:paraId="06F0CF7B" w14:textId="77777777" w:rsidR="00000000" w:rsidRPr="00C36644" w:rsidRDefault="00E83FB2" w:rsidP="00C36644">
                      <w:pPr>
                        <w:pStyle w:val="af3"/>
                        <w:numPr>
                          <w:ilvl w:val="0"/>
                          <w:numId w:val="28"/>
                        </w:numPr>
                        <w:ind w:firstLine="400"/>
                        <w:rPr>
                          <w:lang w:val="en-US"/>
                        </w:rPr>
                      </w:pPr>
                      <w:r w:rsidRPr="00C36644">
                        <w:rPr>
                          <w:lang w:val="en-US"/>
                        </w:rPr>
                        <w:t xml:space="preserve">Feasible SNR range shall be analyzed based on the agreed probe layout and channel model. </w:t>
                      </w:r>
                    </w:p>
                    <w:p w14:paraId="5F5449EB" w14:textId="77777777" w:rsidR="00000000" w:rsidRPr="00C36644" w:rsidRDefault="00E83FB2" w:rsidP="00C36644">
                      <w:pPr>
                        <w:pStyle w:val="af3"/>
                        <w:numPr>
                          <w:ilvl w:val="0"/>
                          <w:numId w:val="28"/>
                        </w:numPr>
                        <w:ind w:firstLine="400"/>
                        <w:rPr>
                          <w:lang w:val="en-US"/>
                        </w:rPr>
                      </w:pPr>
                      <w:r w:rsidRPr="00C36644">
                        <w:rPr>
                          <w:lang w:val="en-US"/>
                        </w:rPr>
                        <w:t xml:space="preserve">The required SNR for FR2 CDL-A InO and CDL-C UMi shall be evaluated. </w:t>
                      </w:r>
                    </w:p>
                    <w:p w14:paraId="3FA4AAF7" w14:textId="77777777" w:rsidR="00000000" w:rsidRPr="00C36644" w:rsidRDefault="00E83FB2" w:rsidP="00C36644">
                      <w:pPr>
                        <w:pStyle w:val="af3"/>
                        <w:numPr>
                          <w:ilvl w:val="0"/>
                          <w:numId w:val="28"/>
                        </w:numPr>
                        <w:ind w:firstLine="400"/>
                        <w:rPr>
                          <w:lang w:val="en-US"/>
                        </w:rPr>
                      </w:pPr>
                      <w:r w:rsidRPr="00C36644">
                        <w:rPr>
                          <w:lang w:val="en-US"/>
                        </w:rPr>
                        <w:t xml:space="preserve">Companies are encouraged to provide the input on simulation assumptions and simulation results. </w:t>
                      </w:r>
                    </w:p>
                    <w:p w14:paraId="2B3FA378" w14:textId="77777777" w:rsidR="00000000" w:rsidRPr="00C36644" w:rsidRDefault="00E83FB2" w:rsidP="00C36644">
                      <w:pPr>
                        <w:pStyle w:val="af3"/>
                        <w:numPr>
                          <w:ilvl w:val="0"/>
                          <w:numId w:val="28"/>
                        </w:numPr>
                        <w:ind w:firstLine="400"/>
                        <w:rPr>
                          <w:lang w:val="en-US"/>
                        </w:rPr>
                      </w:pPr>
                      <w:r w:rsidRPr="00C36644">
                        <w:rPr>
                          <w:lang w:val="en-US"/>
                        </w:rPr>
                        <w:t>Select RMC based on the fe</w:t>
                      </w:r>
                      <w:r w:rsidRPr="00C36644">
                        <w:rPr>
                          <w:lang w:val="en-US"/>
                        </w:rPr>
                        <w:t>asible SNR range and required SNR.</w:t>
                      </w:r>
                    </w:p>
                  </w:txbxContent>
                </v:textbox>
                <w10:anchorlock/>
              </v:shape>
            </w:pict>
          </mc:Fallback>
        </mc:AlternateContent>
      </w:r>
    </w:p>
    <w:p w14:paraId="0723CC00" w14:textId="7C092872" w:rsidR="00FB2CAD" w:rsidRPr="00916F8E" w:rsidRDefault="00376FE4" w:rsidP="008F13B3">
      <w:pPr>
        <w:rPr>
          <w:lang w:eastAsia="zh-CN"/>
        </w:rPr>
      </w:pPr>
      <w:r>
        <w:rPr>
          <w:rFonts w:hint="eastAsia"/>
          <w:lang w:eastAsia="zh-CN"/>
        </w:rPr>
        <w:t>I</w:t>
      </w:r>
      <w:r>
        <w:rPr>
          <w:lang w:eastAsia="zh-CN"/>
        </w:rPr>
        <w:t xml:space="preserve">n this contribution, we </w:t>
      </w:r>
      <w:r w:rsidR="00713D4F">
        <w:rPr>
          <w:lang w:eastAsia="zh-CN"/>
        </w:rPr>
        <w:t xml:space="preserve">share our </w:t>
      </w:r>
      <w:r w:rsidR="00C36644">
        <w:rPr>
          <w:lang w:eastAsia="zh-CN"/>
        </w:rPr>
        <w:t>consideration on the feasible SNR range analysis</w:t>
      </w:r>
      <w:r w:rsidR="00125A5E">
        <w:rPr>
          <w:lang w:eastAsia="zh-CN"/>
        </w:rPr>
        <w:t xml:space="preserve"> for FR2 3D-MPAC</w:t>
      </w:r>
      <w:r>
        <w:rPr>
          <w:lang w:eastAsia="zh-CN"/>
        </w:rPr>
        <w:t>.</w:t>
      </w:r>
    </w:p>
    <w:p w14:paraId="65A85401" w14:textId="697A8A6E" w:rsidR="00962566" w:rsidRDefault="000A567D" w:rsidP="00E33B8C">
      <w:pPr>
        <w:pStyle w:val="1"/>
      </w:pPr>
      <w:r>
        <w:t xml:space="preserve">2. </w:t>
      </w:r>
      <w:r>
        <w:tab/>
      </w:r>
      <w:r w:rsidR="002A1C01">
        <w:t>Discussion</w:t>
      </w:r>
    </w:p>
    <w:p w14:paraId="23D4D8A1" w14:textId="7145BF00" w:rsidR="00E86E27" w:rsidRDefault="00301DD0" w:rsidP="006A3949">
      <w:r>
        <w:t xml:space="preserve">There is no controversial view on the SNR range calculation based on single probe. The main issue for SNR range analysis is how to handle the contribution of multi-probes. </w:t>
      </w:r>
      <w:r w:rsidR="00E86E27">
        <w:t>For convenience, the following framework can be considered:</w:t>
      </w:r>
    </w:p>
    <w:p w14:paraId="1BBD484E" w14:textId="617E0C2D" w:rsidR="00E86E27" w:rsidRDefault="00E86E27" w:rsidP="00E86E27">
      <w:pPr>
        <w:jc w:val="center"/>
      </w:pPr>
      <w:r>
        <w:t>SNR</w:t>
      </w:r>
      <w:r w:rsidRPr="00E86E27">
        <w:rPr>
          <w:vertAlign w:val="subscript"/>
        </w:rPr>
        <w:t>3D-MPAC</w:t>
      </w:r>
      <w:r>
        <w:t xml:space="preserve"> = SNR</w:t>
      </w:r>
      <w:r w:rsidRPr="00E86E27">
        <w:rPr>
          <w:vertAlign w:val="subscript"/>
        </w:rPr>
        <w:t>single-probe</w:t>
      </w:r>
      <w:r>
        <w:t xml:space="preserve"> + </w:t>
      </w:r>
      <w:r w:rsidRPr="002A36AD">
        <w:rPr>
          <w:rFonts w:eastAsia="Malgun Gothic"/>
        </w:rPr>
        <w:t>Δ</w:t>
      </w:r>
      <w:r>
        <w:rPr>
          <w:rFonts w:eastAsia="Malgun Gothic"/>
        </w:rPr>
        <w:t>SNR</w:t>
      </w:r>
      <w:r w:rsidRPr="00E86E27">
        <w:rPr>
          <w:rFonts w:eastAsia="Malgun Gothic"/>
          <w:vertAlign w:val="subscript"/>
        </w:rPr>
        <w:t>multi-probe</w:t>
      </w:r>
    </w:p>
    <w:p w14:paraId="50B90C22" w14:textId="5C3DECDC" w:rsidR="00461C6A" w:rsidRPr="0039591D" w:rsidRDefault="00461C6A" w:rsidP="00461C6A">
      <w:pPr>
        <w:rPr>
          <w:lang w:eastAsia="zh-CN"/>
        </w:rPr>
      </w:pPr>
      <w:r>
        <w:rPr>
          <w:b/>
          <w:bCs/>
        </w:rPr>
        <w:t>Proposal 1</w:t>
      </w:r>
      <w:r w:rsidRPr="001D2C8E">
        <w:rPr>
          <w:b/>
          <w:bCs/>
        </w:rPr>
        <w:t xml:space="preserve">: </w:t>
      </w:r>
      <w:r>
        <w:rPr>
          <w:b/>
          <w:bCs/>
        </w:rPr>
        <w:t>feasible SNR range can be split into two parts: single probe contribution (</w:t>
      </w:r>
      <w:r w:rsidRPr="00461C6A">
        <w:rPr>
          <w:b/>
          <w:bCs/>
        </w:rPr>
        <w:t>SNR</w:t>
      </w:r>
      <w:r w:rsidRPr="00461C6A">
        <w:rPr>
          <w:b/>
          <w:bCs/>
          <w:vertAlign w:val="subscript"/>
        </w:rPr>
        <w:t>single-probe</w:t>
      </w:r>
      <w:r>
        <w:rPr>
          <w:b/>
          <w:bCs/>
        </w:rPr>
        <w:t>) and multi-probe contribution (</w:t>
      </w:r>
      <w:r w:rsidRPr="00461C6A">
        <w:rPr>
          <w:b/>
          <w:bCs/>
        </w:rPr>
        <w:t>ΔSNR</w:t>
      </w:r>
      <w:r w:rsidRPr="00461C6A">
        <w:rPr>
          <w:b/>
          <w:bCs/>
          <w:vertAlign w:val="subscript"/>
        </w:rPr>
        <w:t>multi-probe</w:t>
      </w:r>
      <w:r>
        <w:rPr>
          <w:b/>
          <w:bCs/>
        </w:rPr>
        <w:t xml:space="preserve">), i.e., </w:t>
      </w:r>
      <w:r w:rsidRPr="00461C6A">
        <w:rPr>
          <w:b/>
        </w:rPr>
        <w:t>SNR</w:t>
      </w:r>
      <w:r w:rsidRPr="00461C6A">
        <w:rPr>
          <w:b/>
          <w:vertAlign w:val="subscript"/>
        </w:rPr>
        <w:t>3D-MPAC</w:t>
      </w:r>
      <w:r w:rsidRPr="00461C6A">
        <w:rPr>
          <w:b/>
        </w:rPr>
        <w:t xml:space="preserve"> = SNR</w:t>
      </w:r>
      <w:r w:rsidRPr="00461C6A">
        <w:rPr>
          <w:b/>
          <w:vertAlign w:val="subscript"/>
        </w:rPr>
        <w:t>single-probe</w:t>
      </w:r>
      <w:r w:rsidRPr="00461C6A">
        <w:rPr>
          <w:b/>
        </w:rPr>
        <w:t xml:space="preserve"> + </w:t>
      </w:r>
      <w:r w:rsidRPr="00461C6A">
        <w:rPr>
          <w:rFonts w:eastAsia="Malgun Gothic"/>
          <w:b/>
        </w:rPr>
        <w:t>ΔSNR</w:t>
      </w:r>
      <w:r w:rsidRPr="00461C6A">
        <w:rPr>
          <w:rFonts w:eastAsia="Malgun Gothic"/>
          <w:b/>
          <w:vertAlign w:val="subscript"/>
        </w:rPr>
        <w:t>multi-probe</w:t>
      </w:r>
    </w:p>
    <w:p w14:paraId="73CCED6C" w14:textId="10B17D38" w:rsidR="0039591D" w:rsidRDefault="00301DD0" w:rsidP="006A3949">
      <w:r>
        <w:t>Two aspects affect the multi-probe SNR</w:t>
      </w:r>
      <w:r w:rsidR="00FF0A01">
        <w:t xml:space="preserve"> contribution</w:t>
      </w:r>
      <w:r w:rsidR="00E86E27">
        <w:t xml:space="preserve"> (</w:t>
      </w:r>
      <w:r w:rsidR="00E86E27" w:rsidRPr="002A36AD">
        <w:rPr>
          <w:rFonts w:eastAsia="Malgun Gothic"/>
        </w:rPr>
        <w:t>Δ</w:t>
      </w:r>
      <w:r w:rsidR="00E86E27">
        <w:rPr>
          <w:rFonts w:eastAsia="Malgun Gothic"/>
        </w:rPr>
        <w:t>SNR</w:t>
      </w:r>
      <w:r w:rsidR="00E86E27" w:rsidRPr="00E86E27">
        <w:rPr>
          <w:rFonts w:eastAsia="Malgun Gothic"/>
          <w:vertAlign w:val="subscript"/>
        </w:rPr>
        <w:t>multi-probe</w:t>
      </w:r>
      <w:r w:rsidR="00E86E27">
        <w:t>)</w:t>
      </w:r>
      <w:r>
        <w:t>, one is the probe weights at TE side, and another one is the antenna directivity pattern at UE side.</w:t>
      </w:r>
      <w:r w:rsidR="00723CBE">
        <w:t xml:space="preserve"> The more unbalanced probe weights and the more directional UE antenna pattern will lead to smaller value of </w:t>
      </w:r>
      <w:r w:rsidR="00723CBE" w:rsidRPr="002A36AD">
        <w:rPr>
          <w:rFonts w:eastAsia="Malgun Gothic"/>
        </w:rPr>
        <w:t>Δ</w:t>
      </w:r>
      <w:r w:rsidR="00723CBE">
        <w:rPr>
          <w:rFonts w:eastAsia="Malgun Gothic"/>
        </w:rPr>
        <w:t>SNR</w:t>
      </w:r>
      <w:r w:rsidR="00723CBE" w:rsidRPr="00E86E27">
        <w:rPr>
          <w:rFonts w:eastAsia="Malgun Gothic"/>
          <w:vertAlign w:val="subscript"/>
        </w:rPr>
        <w:t>multi-probe</w:t>
      </w:r>
      <w:r w:rsidR="00723CBE">
        <w:rPr>
          <w:rFonts w:eastAsia="Malgun Gothic"/>
          <w:vertAlign w:val="subscript"/>
        </w:rPr>
        <w:t>.</w:t>
      </w:r>
    </w:p>
    <w:p w14:paraId="58E26FB8" w14:textId="7B67BD0A" w:rsidR="00FF0A01" w:rsidRPr="0039591D" w:rsidRDefault="00FF0A01" w:rsidP="00FF0A01">
      <w:pPr>
        <w:rPr>
          <w:lang w:eastAsia="zh-CN"/>
        </w:rPr>
      </w:pPr>
      <w:r>
        <w:rPr>
          <w:b/>
          <w:bCs/>
        </w:rPr>
        <w:t>Observation</w:t>
      </w:r>
      <w:r w:rsidRPr="001D2C8E">
        <w:rPr>
          <w:b/>
          <w:bCs/>
        </w:rPr>
        <w:t xml:space="preserve"> </w:t>
      </w:r>
      <w:r w:rsidR="00845CD4">
        <w:rPr>
          <w:b/>
          <w:bCs/>
        </w:rPr>
        <w:t>1</w:t>
      </w:r>
      <w:r w:rsidRPr="001D2C8E">
        <w:rPr>
          <w:b/>
          <w:bCs/>
        </w:rPr>
        <w:t xml:space="preserve">: </w:t>
      </w:r>
      <w:r w:rsidR="00845CD4">
        <w:rPr>
          <w:b/>
          <w:bCs/>
        </w:rPr>
        <w:t xml:space="preserve">the multi-probe SNR contribution </w:t>
      </w:r>
      <w:r w:rsidR="00845CD4" w:rsidRPr="00845CD4">
        <w:rPr>
          <w:b/>
          <w:bCs/>
        </w:rPr>
        <w:t>(ΔSNR</w:t>
      </w:r>
      <w:r w:rsidR="00845CD4" w:rsidRPr="00845CD4">
        <w:rPr>
          <w:b/>
          <w:bCs/>
          <w:vertAlign w:val="subscript"/>
        </w:rPr>
        <w:t>multi-probe</w:t>
      </w:r>
      <w:r w:rsidR="00845CD4" w:rsidRPr="00845CD4">
        <w:rPr>
          <w:b/>
          <w:bCs/>
        </w:rPr>
        <w:t>)</w:t>
      </w:r>
      <w:r w:rsidR="00845CD4">
        <w:rPr>
          <w:b/>
          <w:bCs/>
        </w:rPr>
        <w:t xml:space="preserve"> is affected by two aspects, probe weights at TE side and antenna directivity pattern at UE side.</w:t>
      </w:r>
    </w:p>
    <w:p w14:paraId="69152573" w14:textId="2F00FF0E" w:rsidR="000064BD" w:rsidRDefault="000064BD" w:rsidP="006A3949">
      <w:r>
        <w:t>Assume the probe weights are all 1 for the 6 probes and UE antenna pattern is isotropic, then</w:t>
      </w:r>
      <w:r w:rsidR="009E096A">
        <w:t xml:space="preserve"> </w:t>
      </w:r>
      <w:r w:rsidR="009E096A" w:rsidRPr="002A36AD">
        <w:rPr>
          <w:rFonts w:eastAsia="Malgun Gothic"/>
        </w:rPr>
        <w:t>Δ</w:t>
      </w:r>
      <w:r w:rsidR="009E096A">
        <w:rPr>
          <w:rFonts w:eastAsia="Malgun Gothic"/>
        </w:rPr>
        <w:t>SNR</w:t>
      </w:r>
      <w:r w:rsidR="009E096A" w:rsidRPr="00E86E27">
        <w:rPr>
          <w:rFonts w:eastAsia="Malgun Gothic"/>
          <w:vertAlign w:val="subscript"/>
        </w:rPr>
        <w:t>multi-probe</w:t>
      </w:r>
      <w:r w:rsidR="009E096A">
        <w:t xml:space="preserve"> </w:t>
      </w:r>
      <w:r>
        <w:t>=10*lg(6)=</w:t>
      </w:r>
      <w:r w:rsidR="009E096A">
        <w:t xml:space="preserve">7.8dB; </w:t>
      </w:r>
      <w:r w:rsidR="008D401C">
        <w:t xml:space="preserve">After </w:t>
      </w:r>
      <w:r w:rsidR="009E096A">
        <w:t>taking UE antenna pattern into account</w:t>
      </w:r>
      <w:r w:rsidR="00936E81">
        <w:t xml:space="preserve">, contribution of multi-probe is getting </w:t>
      </w:r>
      <w:r w:rsidR="00AA29A2">
        <w:t>obviously</w:t>
      </w:r>
      <w:r w:rsidR="00936E81">
        <w:t xml:space="preserve"> lower, </w:t>
      </w:r>
      <w:r w:rsidR="008D401C">
        <w:t>i.e.,</w:t>
      </w:r>
      <w:r w:rsidR="00936E81">
        <w:t xml:space="preserve"> </w:t>
      </w:r>
      <w:r w:rsidR="00936E81" w:rsidRPr="002A36AD">
        <w:rPr>
          <w:rFonts w:eastAsia="Malgun Gothic"/>
        </w:rPr>
        <w:t>Δ</w:t>
      </w:r>
      <w:r w:rsidR="00936E81">
        <w:rPr>
          <w:rFonts w:eastAsia="Malgun Gothic"/>
        </w:rPr>
        <w:t>SNR</w:t>
      </w:r>
      <w:r w:rsidR="00936E81" w:rsidRPr="00E86E27">
        <w:rPr>
          <w:rFonts w:eastAsia="Malgun Gothic"/>
          <w:vertAlign w:val="subscript"/>
        </w:rPr>
        <w:t>multi-probe</w:t>
      </w:r>
      <w:r w:rsidR="00936E81">
        <w:t xml:space="preserve"> =3.5dB</w:t>
      </w:r>
      <w:r w:rsidR="008D401C">
        <w:t xml:space="preserve"> as estimated in [</w:t>
      </w:r>
      <w:r w:rsidR="005D3A97">
        <w:t>3</w:t>
      </w:r>
      <w:r w:rsidR="008D401C">
        <w:t>]</w:t>
      </w:r>
      <w:r w:rsidR="00936E81">
        <w:t xml:space="preserve">. If considering the practical probe weights, the </w:t>
      </w:r>
      <w:r w:rsidR="00936E81" w:rsidRPr="002A36AD">
        <w:rPr>
          <w:rFonts w:eastAsia="Malgun Gothic"/>
        </w:rPr>
        <w:t>Δ</w:t>
      </w:r>
      <w:r w:rsidR="00936E81">
        <w:rPr>
          <w:rFonts w:eastAsia="Malgun Gothic"/>
        </w:rPr>
        <w:t>SNR</w:t>
      </w:r>
      <w:r w:rsidR="00936E81" w:rsidRPr="00E86E27">
        <w:rPr>
          <w:rFonts w:eastAsia="Malgun Gothic"/>
          <w:vertAlign w:val="subscript"/>
        </w:rPr>
        <w:t>multi-probe</w:t>
      </w:r>
      <w:r w:rsidR="00936E81">
        <w:t xml:space="preserve"> will </w:t>
      </w:r>
      <w:r w:rsidR="008D401C">
        <w:t>become</w:t>
      </w:r>
      <w:r w:rsidR="00936E81">
        <w:t xml:space="preserve"> </w:t>
      </w:r>
      <w:r w:rsidR="00845CD4">
        <w:t xml:space="preserve">further </w:t>
      </w:r>
      <w:r w:rsidR="00936E81">
        <w:t>lower.</w:t>
      </w:r>
    </w:p>
    <w:p w14:paraId="180C7904" w14:textId="119D7D6C" w:rsidR="00246ACE" w:rsidRPr="0039591D" w:rsidRDefault="00246ACE" w:rsidP="00246ACE">
      <w:pPr>
        <w:rPr>
          <w:lang w:eastAsia="zh-CN"/>
        </w:rPr>
      </w:pPr>
      <w:r>
        <w:rPr>
          <w:b/>
          <w:bCs/>
        </w:rPr>
        <w:t>Observation</w:t>
      </w:r>
      <w:r w:rsidRPr="001D2C8E">
        <w:rPr>
          <w:b/>
          <w:bCs/>
        </w:rPr>
        <w:t xml:space="preserve"> </w:t>
      </w:r>
      <w:r w:rsidR="00C1122E">
        <w:rPr>
          <w:b/>
          <w:bCs/>
        </w:rPr>
        <w:t>2</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expected in the range of [0, 3.5]dB.</w:t>
      </w:r>
    </w:p>
    <w:p w14:paraId="5C27D002" w14:textId="36A3A169" w:rsidR="00301DD0" w:rsidRDefault="00301DD0" w:rsidP="006A3949">
      <w:pPr>
        <w:rPr>
          <w:lang w:eastAsia="zh-CN"/>
        </w:rPr>
      </w:pPr>
      <w:r>
        <w:t xml:space="preserve">It was agreed that SNR range analysis shall be based on the agreed probe layout and channel model. For different channel model, the probe weights will be different. Even for the same channel model, probe weights may also be different between different test systems. </w:t>
      </w:r>
      <w:r w:rsidR="00FF0A01">
        <w:t xml:space="preserve">Since the </w:t>
      </w:r>
      <w:r w:rsidR="00FF0A01" w:rsidRPr="002A36AD">
        <w:rPr>
          <w:rFonts w:eastAsia="Malgun Gothic"/>
        </w:rPr>
        <w:t>Δ</w:t>
      </w:r>
      <w:r w:rsidR="00FF0A01">
        <w:rPr>
          <w:rFonts w:eastAsia="Malgun Gothic"/>
        </w:rPr>
        <w:t>SNR</w:t>
      </w:r>
      <w:r w:rsidR="00FF0A01" w:rsidRPr="00E86E27">
        <w:rPr>
          <w:rFonts w:eastAsia="Malgun Gothic"/>
          <w:vertAlign w:val="subscript"/>
        </w:rPr>
        <w:t>multi-probe</w:t>
      </w:r>
      <w:r w:rsidR="00FF0A01">
        <w:t xml:space="preserve"> is already narrowed down to the range [0, 3.5]dB, </w:t>
      </w:r>
      <w:r w:rsidR="00246ACE">
        <w:t>we are very close to the goal if TE vendors can input an aligned</w:t>
      </w:r>
      <w:r w:rsidR="00FD6F3B">
        <w:t xml:space="preserve"> estimated</w:t>
      </w:r>
      <w:r w:rsidR="00246ACE">
        <w:t xml:space="preserve"> value to </w:t>
      </w:r>
      <w:r w:rsidR="00246ACE" w:rsidRPr="002A36AD">
        <w:rPr>
          <w:rFonts w:eastAsia="Malgun Gothic"/>
        </w:rPr>
        <w:t>Δ</w:t>
      </w:r>
      <w:r w:rsidR="00246ACE">
        <w:rPr>
          <w:rFonts w:eastAsia="Malgun Gothic"/>
        </w:rPr>
        <w:t>SNR</w:t>
      </w:r>
      <w:r w:rsidR="00246ACE" w:rsidRPr="00E86E27">
        <w:rPr>
          <w:rFonts w:eastAsia="Malgun Gothic"/>
          <w:vertAlign w:val="subscript"/>
        </w:rPr>
        <w:t>multi-probe</w:t>
      </w:r>
      <w:r w:rsidR="00246ACE">
        <w:t xml:space="preserve"> based on probe weights for </w:t>
      </w:r>
      <w:r w:rsidR="00246ACE" w:rsidRPr="00C36644">
        <w:rPr>
          <w:lang w:val="en-US"/>
        </w:rPr>
        <w:t>CDL-A InO and CDL-C UMi</w:t>
      </w:r>
      <w:r w:rsidR="00246ACE">
        <w:rPr>
          <w:lang w:val="en-US"/>
        </w:rPr>
        <w:t xml:space="preserve"> respectively.</w:t>
      </w:r>
    </w:p>
    <w:p w14:paraId="355930E5" w14:textId="648D3583" w:rsidR="005B7699" w:rsidRPr="00461C6A" w:rsidRDefault="00FD6F3B" w:rsidP="005522C9">
      <w:pPr>
        <w:rPr>
          <w:b/>
          <w:lang w:eastAsia="zh-CN"/>
        </w:rPr>
      </w:pPr>
      <w:r>
        <w:rPr>
          <w:b/>
          <w:bCs/>
        </w:rPr>
        <w:t xml:space="preserve">Proposal </w:t>
      </w:r>
      <w:r w:rsidR="00461C6A">
        <w:rPr>
          <w:b/>
          <w:bCs/>
        </w:rPr>
        <w:t>2</w:t>
      </w:r>
      <w:r w:rsidR="005B7699" w:rsidRPr="001D2C8E">
        <w:rPr>
          <w:b/>
          <w:bCs/>
        </w:rPr>
        <w:t xml:space="preserve">: </w:t>
      </w:r>
      <w:r w:rsidR="00461C6A">
        <w:rPr>
          <w:b/>
          <w:bCs/>
        </w:rPr>
        <w:t>it is encouraged for TE vendors to input an aligned</w:t>
      </w:r>
      <w:r w:rsidR="00461C6A" w:rsidRPr="00461C6A">
        <w:rPr>
          <w:b/>
          <w:bCs/>
        </w:rPr>
        <w:t xml:space="preserve"> </w:t>
      </w:r>
      <w:r w:rsidR="00461C6A" w:rsidRPr="00461C6A">
        <w:rPr>
          <w:b/>
        </w:rPr>
        <w:t xml:space="preserve">estimated value to </w:t>
      </w:r>
      <w:r w:rsidR="00461C6A" w:rsidRPr="00461C6A">
        <w:rPr>
          <w:rFonts w:eastAsia="Malgun Gothic"/>
          <w:b/>
        </w:rPr>
        <w:t>ΔSNR</w:t>
      </w:r>
      <w:r w:rsidR="00461C6A" w:rsidRPr="00461C6A">
        <w:rPr>
          <w:rFonts w:eastAsia="Malgun Gothic"/>
          <w:b/>
          <w:vertAlign w:val="subscript"/>
        </w:rPr>
        <w:t>multi-probe</w:t>
      </w:r>
      <w:r w:rsidR="00461C6A" w:rsidRPr="00461C6A">
        <w:rPr>
          <w:b/>
        </w:rPr>
        <w:t xml:space="preserve"> based on probe weights for </w:t>
      </w:r>
      <w:r w:rsidR="00461C6A" w:rsidRPr="00461C6A">
        <w:rPr>
          <w:b/>
          <w:lang w:val="en-US"/>
        </w:rPr>
        <w:t>CDL-A InO and CDL-C UMi respectively</w:t>
      </w:r>
    </w:p>
    <w:p w14:paraId="3764CAFA" w14:textId="761D5D35" w:rsidR="00235EE7" w:rsidRDefault="00235EE7" w:rsidP="00235EE7">
      <w:pPr>
        <w:pStyle w:val="1"/>
      </w:pPr>
      <w:r>
        <w:lastRenderedPageBreak/>
        <w:t xml:space="preserve">3. </w:t>
      </w:r>
      <w:r>
        <w:tab/>
        <w:t>Conclusion</w:t>
      </w:r>
    </w:p>
    <w:p w14:paraId="66989CC8" w14:textId="77777777" w:rsidR="00461C6A" w:rsidRPr="0039591D" w:rsidRDefault="00461C6A" w:rsidP="00461C6A">
      <w:pPr>
        <w:rPr>
          <w:lang w:eastAsia="zh-CN"/>
        </w:rPr>
      </w:pPr>
      <w:r>
        <w:rPr>
          <w:b/>
          <w:bCs/>
        </w:rPr>
        <w:t>Proposal 1</w:t>
      </w:r>
      <w:r w:rsidRPr="001D2C8E">
        <w:rPr>
          <w:b/>
          <w:bCs/>
        </w:rPr>
        <w:t xml:space="preserve">: </w:t>
      </w:r>
      <w:r>
        <w:rPr>
          <w:b/>
          <w:bCs/>
        </w:rPr>
        <w:t>feasible SNR range can be split into two parts: single probe contribution (</w:t>
      </w:r>
      <w:r w:rsidRPr="00461C6A">
        <w:rPr>
          <w:b/>
          <w:bCs/>
        </w:rPr>
        <w:t>SNR</w:t>
      </w:r>
      <w:r w:rsidRPr="00461C6A">
        <w:rPr>
          <w:b/>
          <w:bCs/>
          <w:vertAlign w:val="subscript"/>
        </w:rPr>
        <w:t>single-probe</w:t>
      </w:r>
      <w:r>
        <w:rPr>
          <w:b/>
          <w:bCs/>
        </w:rPr>
        <w:t>) and multi-probe contribution (</w:t>
      </w:r>
      <w:r w:rsidRPr="00461C6A">
        <w:rPr>
          <w:b/>
          <w:bCs/>
        </w:rPr>
        <w:t>ΔSNR</w:t>
      </w:r>
      <w:r w:rsidRPr="00461C6A">
        <w:rPr>
          <w:b/>
          <w:bCs/>
          <w:vertAlign w:val="subscript"/>
        </w:rPr>
        <w:t>multi-probe</w:t>
      </w:r>
      <w:r>
        <w:rPr>
          <w:b/>
          <w:bCs/>
        </w:rPr>
        <w:t xml:space="preserve">), i.e., </w:t>
      </w:r>
      <w:r w:rsidRPr="00461C6A">
        <w:rPr>
          <w:b/>
        </w:rPr>
        <w:t>SNR</w:t>
      </w:r>
      <w:r w:rsidRPr="00461C6A">
        <w:rPr>
          <w:b/>
          <w:vertAlign w:val="subscript"/>
        </w:rPr>
        <w:t>3D-MPAC</w:t>
      </w:r>
      <w:r w:rsidRPr="00461C6A">
        <w:rPr>
          <w:b/>
        </w:rPr>
        <w:t xml:space="preserve"> = SNR</w:t>
      </w:r>
      <w:r w:rsidRPr="00461C6A">
        <w:rPr>
          <w:b/>
          <w:vertAlign w:val="subscript"/>
        </w:rPr>
        <w:t>single-probe</w:t>
      </w:r>
      <w:r w:rsidRPr="00461C6A">
        <w:rPr>
          <w:b/>
        </w:rPr>
        <w:t xml:space="preserve"> + </w:t>
      </w:r>
      <w:r w:rsidRPr="00461C6A">
        <w:rPr>
          <w:rFonts w:eastAsia="Malgun Gothic"/>
          <w:b/>
        </w:rPr>
        <w:t>ΔSNR</w:t>
      </w:r>
      <w:r w:rsidRPr="00461C6A">
        <w:rPr>
          <w:rFonts w:eastAsia="Malgun Gothic"/>
          <w:b/>
          <w:vertAlign w:val="subscript"/>
        </w:rPr>
        <w:t>multi-probe</w:t>
      </w:r>
    </w:p>
    <w:p w14:paraId="772282E5" w14:textId="77777777" w:rsidR="00461C6A" w:rsidRPr="0039591D" w:rsidRDefault="00461C6A" w:rsidP="00461C6A">
      <w:pPr>
        <w:rPr>
          <w:lang w:eastAsia="zh-CN"/>
        </w:rPr>
      </w:pPr>
      <w:r>
        <w:rPr>
          <w:b/>
          <w:bCs/>
        </w:rPr>
        <w:t>Observation</w:t>
      </w:r>
      <w:r w:rsidRPr="001D2C8E">
        <w:rPr>
          <w:b/>
          <w:bCs/>
        </w:rPr>
        <w:t xml:space="preserve"> </w:t>
      </w:r>
      <w:r>
        <w:rPr>
          <w:b/>
          <w:bCs/>
        </w:rPr>
        <w:t>1</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affected by two aspects, probe weights at TE side and antenna directivity pattern at UE side.</w:t>
      </w:r>
    </w:p>
    <w:p w14:paraId="7FE67B94" w14:textId="77777777" w:rsidR="00461C6A" w:rsidRPr="0039591D" w:rsidRDefault="00461C6A" w:rsidP="00461C6A">
      <w:pPr>
        <w:rPr>
          <w:lang w:eastAsia="zh-CN"/>
        </w:rPr>
      </w:pPr>
      <w:r>
        <w:rPr>
          <w:b/>
          <w:bCs/>
        </w:rPr>
        <w:t>Observation</w:t>
      </w:r>
      <w:r w:rsidRPr="001D2C8E">
        <w:rPr>
          <w:b/>
          <w:bCs/>
        </w:rPr>
        <w:t xml:space="preserve"> </w:t>
      </w:r>
      <w:r>
        <w:rPr>
          <w:b/>
          <w:bCs/>
        </w:rPr>
        <w:t>2</w:t>
      </w:r>
      <w:r w:rsidRPr="001D2C8E">
        <w:rPr>
          <w:b/>
          <w:bCs/>
        </w:rPr>
        <w:t xml:space="preserve">: </w:t>
      </w:r>
      <w:r>
        <w:rPr>
          <w:b/>
          <w:bCs/>
        </w:rPr>
        <w:t xml:space="preserve">the multi-probe SNR contribution </w:t>
      </w:r>
      <w:r w:rsidRPr="00845CD4">
        <w:rPr>
          <w:b/>
          <w:bCs/>
        </w:rPr>
        <w:t>(ΔSNR</w:t>
      </w:r>
      <w:r w:rsidRPr="00845CD4">
        <w:rPr>
          <w:b/>
          <w:bCs/>
          <w:vertAlign w:val="subscript"/>
        </w:rPr>
        <w:t>multi-probe</w:t>
      </w:r>
      <w:r w:rsidRPr="00845CD4">
        <w:rPr>
          <w:b/>
          <w:bCs/>
        </w:rPr>
        <w:t>)</w:t>
      </w:r>
      <w:r>
        <w:rPr>
          <w:b/>
          <w:bCs/>
        </w:rPr>
        <w:t xml:space="preserve"> is expected in the range of [0, 3.5]dB.</w:t>
      </w:r>
    </w:p>
    <w:p w14:paraId="0BB48498" w14:textId="2F123139" w:rsidR="00461C6A" w:rsidRPr="00461C6A" w:rsidRDefault="00461C6A" w:rsidP="00461C6A">
      <w:pPr>
        <w:rPr>
          <w:b/>
          <w:lang w:eastAsia="zh-CN"/>
        </w:rPr>
      </w:pPr>
      <w:r>
        <w:rPr>
          <w:b/>
          <w:bCs/>
        </w:rPr>
        <w:t>Proposal 2</w:t>
      </w:r>
      <w:r w:rsidRPr="001D2C8E">
        <w:rPr>
          <w:b/>
          <w:bCs/>
        </w:rPr>
        <w:t xml:space="preserve">: </w:t>
      </w:r>
      <w:r>
        <w:rPr>
          <w:b/>
          <w:bCs/>
        </w:rPr>
        <w:t>it is encouraged for TE vendors to input an aligned</w:t>
      </w:r>
      <w:r w:rsidRPr="00461C6A">
        <w:rPr>
          <w:b/>
          <w:bCs/>
        </w:rPr>
        <w:t xml:space="preserve"> </w:t>
      </w:r>
      <w:r w:rsidRPr="00461C6A">
        <w:rPr>
          <w:b/>
        </w:rPr>
        <w:t xml:space="preserve">estimated value to </w:t>
      </w:r>
      <w:r w:rsidRPr="00461C6A">
        <w:rPr>
          <w:rFonts w:eastAsia="Malgun Gothic"/>
          <w:b/>
        </w:rPr>
        <w:t>ΔSNR</w:t>
      </w:r>
      <w:r w:rsidRPr="00461C6A">
        <w:rPr>
          <w:rFonts w:eastAsia="Malgun Gothic"/>
          <w:b/>
          <w:vertAlign w:val="subscript"/>
        </w:rPr>
        <w:t>multi-probe</w:t>
      </w:r>
      <w:r w:rsidRPr="00461C6A">
        <w:rPr>
          <w:b/>
        </w:rPr>
        <w:t xml:space="preserve"> </w:t>
      </w:r>
      <w:r w:rsidR="00537FB5">
        <w:rPr>
          <w:rFonts w:hint="eastAsia"/>
          <w:b/>
          <w:lang w:eastAsia="zh-CN"/>
        </w:rPr>
        <w:t>a</w:t>
      </w:r>
      <w:r w:rsidR="00537FB5">
        <w:rPr>
          <w:b/>
          <w:lang w:eastAsia="zh-CN"/>
        </w:rPr>
        <w:t xml:space="preserve">mong [0, 3.5]dB </w:t>
      </w:r>
      <w:r w:rsidRPr="00461C6A">
        <w:rPr>
          <w:b/>
        </w:rPr>
        <w:t xml:space="preserve">based on probe weights for </w:t>
      </w:r>
      <w:r w:rsidRPr="00461C6A">
        <w:rPr>
          <w:b/>
          <w:lang w:val="en-US"/>
        </w:rPr>
        <w:t>CDL-A InO and CDL-C UMi respectively</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C27769F" w14:textId="54CBD9B9" w:rsidR="002208D9" w:rsidRDefault="00773D2F" w:rsidP="00CC11B4">
      <w:pPr>
        <w:pStyle w:val="a8"/>
        <w:numPr>
          <w:ilvl w:val="0"/>
          <w:numId w:val="26"/>
        </w:numPr>
        <w:rPr>
          <w:lang w:val="en-US"/>
        </w:rPr>
      </w:pPr>
      <w:bookmarkStart w:id="1" w:name="_Ref6492277"/>
      <w:bookmarkStart w:id="2" w:name="_Ref16090396"/>
      <w:bookmarkStart w:id="3" w:name="_Ref536518839"/>
      <w:bookmarkStart w:id="4" w:name="_Ref528673925"/>
      <w:bookmarkStart w:id="5" w:name="_Ref525739026"/>
      <w:bookmarkStart w:id="6" w:name="_Ref513646437"/>
      <w:bookmarkStart w:id="7" w:name="_Ref508875069"/>
      <w:bookmarkStart w:id="8" w:name="_Ref508874720"/>
      <w:bookmarkStart w:id="9" w:name="_Ref484009661"/>
      <w:bookmarkStart w:id="10" w:name="_Ref447703865"/>
      <w:bookmarkStart w:id="11" w:name="_Ref455046197"/>
      <w:bookmarkStart w:id="12" w:name="_Ref473734040"/>
      <w:bookmarkStart w:id="13" w:name="_Ref481653652"/>
      <w:bookmarkStart w:id="14" w:name="_Ref447634836"/>
      <w:bookmarkStart w:id="15" w:name="_Ref447633816"/>
      <w:r w:rsidRPr="00773D2F">
        <w:rPr>
          <w:lang w:val="en-US"/>
        </w:rPr>
        <w:t>R4-</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35C2E">
        <w:rPr>
          <w:lang w:val="en-US"/>
        </w:rPr>
        <w:t>200</w:t>
      </w:r>
      <w:r w:rsidR="00CC11B4">
        <w:rPr>
          <w:lang w:val="en-US"/>
        </w:rPr>
        <w:t>4995    “</w:t>
      </w:r>
      <w:r w:rsidR="00CC11B4" w:rsidRPr="00CC11B4">
        <w:rPr>
          <w:lang w:val="en-US"/>
        </w:rPr>
        <w:t>On FR2 performance metric and SNR range</w:t>
      </w:r>
      <w:r w:rsidR="00CC11B4">
        <w:rPr>
          <w:lang w:val="en-US"/>
        </w:rPr>
        <w:t>”</w:t>
      </w:r>
      <w:r w:rsidR="00BA4C5D">
        <w:rPr>
          <w:rFonts w:hint="eastAsia"/>
          <w:lang w:val="en-US" w:eastAsia="zh-CN"/>
        </w:rPr>
        <w:t>,</w:t>
      </w:r>
      <w:r w:rsidR="00BA4C5D">
        <w:rPr>
          <w:lang w:val="en-US" w:eastAsia="zh-CN"/>
        </w:rPr>
        <w:t xml:space="preserve"> </w:t>
      </w:r>
      <w:r w:rsidR="00CC11B4">
        <w:rPr>
          <w:rFonts w:hint="eastAsia"/>
          <w:lang w:val="en-US" w:eastAsia="zh-CN"/>
        </w:rPr>
        <w:t>Samsung</w:t>
      </w:r>
    </w:p>
    <w:p w14:paraId="62589AA8" w14:textId="5460BADB" w:rsidR="00CC11B4" w:rsidRDefault="00CC11B4" w:rsidP="00CC11B4">
      <w:pPr>
        <w:pStyle w:val="a8"/>
        <w:numPr>
          <w:ilvl w:val="0"/>
          <w:numId w:val="26"/>
        </w:numPr>
        <w:rPr>
          <w:lang w:val="en-US"/>
        </w:rPr>
      </w:pPr>
      <w:r>
        <w:rPr>
          <w:rFonts w:hint="eastAsia"/>
          <w:lang w:val="en-US" w:eastAsia="zh-CN"/>
        </w:rPr>
        <w:t>R</w:t>
      </w:r>
      <w:r>
        <w:rPr>
          <w:lang w:val="en-US" w:eastAsia="zh-CN"/>
        </w:rPr>
        <w:t>4-2005556    “</w:t>
      </w:r>
      <w:r w:rsidRPr="00CC11B4">
        <w:rPr>
          <w:lang w:val="en-US" w:eastAsia="zh-CN"/>
        </w:rPr>
        <w:t>WF on FR2 MIMO OTA</w:t>
      </w:r>
      <w:r>
        <w:rPr>
          <w:lang w:val="en-US" w:eastAsia="zh-CN"/>
        </w:rPr>
        <w:t>”, CAICT</w:t>
      </w:r>
    </w:p>
    <w:p w14:paraId="1DED3815" w14:textId="468DE599" w:rsidR="00CC11B4" w:rsidRPr="005D3A97" w:rsidRDefault="005D3A97" w:rsidP="005D3A97">
      <w:pPr>
        <w:pStyle w:val="af3"/>
        <w:numPr>
          <w:ilvl w:val="0"/>
          <w:numId w:val="26"/>
        </w:numPr>
        <w:ind w:firstLineChars="0"/>
        <w:rPr>
          <w:rFonts w:hint="eastAsia"/>
          <w:lang w:val="en-US"/>
        </w:rPr>
      </w:pPr>
      <w:r w:rsidRPr="005D3A97">
        <w:rPr>
          <w:lang w:val="en-US"/>
        </w:rPr>
        <w:t xml:space="preserve">R4-2002153 </w:t>
      </w:r>
      <w:r>
        <w:rPr>
          <w:lang w:val="en-US"/>
        </w:rPr>
        <w:t xml:space="preserve">   </w:t>
      </w:r>
      <w:r w:rsidRPr="005D3A97">
        <w:rPr>
          <w:lang w:val="en-US"/>
        </w:rPr>
        <w:t>“Sample SNR ranges in FR2 OTA setup”, Keysight</w:t>
      </w:r>
      <w:bookmarkStart w:id="16" w:name="_GoBack"/>
      <w:bookmarkEnd w:id="16"/>
    </w:p>
    <w:p w14:paraId="1E824E0D" w14:textId="77777777" w:rsidR="00E33B8C" w:rsidRDefault="00E33B8C" w:rsidP="00B4352E">
      <w:pPr>
        <w:pStyle w:val="a8"/>
      </w:pPr>
    </w:p>
    <w:sectPr w:rsidR="00E33B8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68CA4" w14:textId="77777777" w:rsidR="00777225" w:rsidRDefault="00777225" w:rsidP="00707BAC">
      <w:pPr>
        <w:spacing w:after="0"/>
      </w:pPr>
      <w:r>
        <w:separator/>
      </w:r>
    </w:p>
  </w:endnote>
  <w:endnote w:type="continuationSeparator" w:id="0">
    <w:p w14:paraId="3B7013D9" w14:textId="77777777" w:rsidR="00777225" w:rsidRDefault="0077722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A29AF" w14:textId="77777777" w:rsidR="00777225" w:rsidRDefault="00777225" w:rsidP="00707BAC">
      <w:pPr>
        <w:spacing w:after="0"/>
      </w:pPr>
      <w:r>
        <w:separator/>
      </w:r>
    </w:p>
  </w:footnote>
  <w:footnote w:type="continuationSeparator" w:id="0">
    <w:p w14:paraId="6B3187C8" w14:textId="77777777" w:rsidR="00777225" w:rsidRDefault="0077722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4066590"/>
    <w:multiLevelType w:val="hybridMultilevel"/>
    <w:tmpl w:val="1D5E1F54"/>
    <w:lvl w:ilvl="0" w:tplc="206AE66E">
      <w:start w:val="1"/>
      <w:numFmt w:val="bullet"/>
      <w:lvlText w:val="•"/>
      <w:lvlJc w:val="left"/>
      <w:pPr>
        <w:tabs>
          <w:tab w:val="num" w:pos="720"/>
        </w:tabs>
        <w:ind w:left="720" w:hanging="360"/>
      </w:pPr>
      <w:rPr>
        <w:rFonts w:ascii="Arial" w:hAnsi="Arial" w:hint="default"/>
      </w:rPr>
    </w:lvl>
    <w:lvl w:ilvl="1" w:tplc="B84820D2">
      <w:start w:val="114"/>
      <w:numFmt w:val="bullet"/>
      <w:lvlText w:val="–"/>
      <w:lvlJc w:val="left"/>
      <w:pPr>
        <w:tabs>
          <w:tab w:val="num" w:pos="1440"/>
        </w:tabs>
        <w:ind w:left="1440" w:hanging="360"/>
      </w:pPr>
      <w:rPr>
        <w:rFonts w:ascii="Arial" w:hAnsi="Arial" w:hint="default"/>
      </w:rPr>
    </w:lvl>
    <w:lvl w:ilvl="2" w:tplc="9A58C060">
      <w:start w:val="114"/>
      <w:numFmt w:val="bullet"/>
      <w:lvlText w:val="•"/>
      <w:lvlJc w:val="left"/>
      <w:pPr>
        <w:tabs>
          <w:tab w:val="num" w:pos="2160"/>
        </w:tabs>
        <w:ind w:left="2160" w:hanging="360"/>
      </w:pPr>
      <w:rPr>
        <w:rFonts w:ascii="Arial" w:hAnsi="Arial" w:hint="default"/>
      </w:rPr>
    </w:lvl>
    <w:lvl w:ilvl="3" w:tplc="BA04A7DA" w:tentative="1">
      <w:start w:val="1"/>
      <w:numFmt w:val="bullet"/>
      <w:lvlText w:val="•"/>
      <w:lvlJc w:val="left"/>
      <w:pPr>
        <w:tabs>
          <w:tab w:val="num" w:pos="2880"/>
        </w:tabs>
        <w:ind w:left="2880" w:hanging="360"/>
      </w:pPr>
      <w:rPr>
        <w:rFonts w:ascii="Arial" w:hAnsi="Arial" w:hint="default"/>
      </w:rPr>
    </w:lvl>
    <w:lvl w:ilvl="4" w:tplc="F1726506" w:tentative="1">
      <w:start w:val="1"/>
      <w:numFmt w:val="bullet"/>
      <w:lvlText w:val="•"/>
      <w:lvlJc w:val="left"/>
      <w:pPr>
        <w:tabs>
          <w:tab w:val="num" w:pos="3600"/>
        </w:tabs>
        <w:ind w:left="3600" w:hanging="360"/>
      </w:pPr>
      <w:rPr>
        <w:rFonts w:ascii="Arial" w:hAnsi="Arial" w:hint="default"/>
      </w:rPr>
    </w:lvl>
    <w:lvl w:ilvl="5" w:tplc="FC829F22" w:tentative="1">
      <w:start w:val="1"/>
      <w:numFmt w:val="bullet"/>
      <w:lvlText w:val="•"/>
      <w:lvlJc w:val="left"/>
      <w:pPr>
        <w:tabs>
          <w:tab w:val="num" w:pos="4320"/>
        </w:tabs>
        <w:ind w:left="4320" w:hanging="360"/>
      </w:pPr>
      <w:rPr>
        <w:rFonts w:ascii="Arial" w:hAnsi="Arial" w:hint="default"/>
      </w:rPr>
    </w:lvl>
    <w:lvl w:ilvl="6" w:tplc="5FC6B106" w:tentative="1">
      <w:start w:val="1"/>
      <w:numFmt w:val="bullet"/>
      <w:lvlText w:val="•"/>
      <w:lvlJc w:val="left"/>
      <w:pPr>
        <w:tabs>
          <w:tab w:val="num" w:pos="5040"/>
        </w:tabs>
        <w:ind w:left="5040" w:hanging="360"/>
      </w:pPr>
      <w:rPr>
        <w:rFonts w:ascii="Arial" w:hAnsi="Arial" w:hint="default"/>
      </w:rPr>
    </w:lvl>
    <w:lvl w:ilvl="7" w:tplc="A6AC9EFE" w:tentative="1">
      <w:start w:val="1"/>
      <w:numFmt w:val="bullet"/>
      <w:lvlText w:val="•"/>
      <w:lvlJc w:val="left"/>
      <w:pPr>
        <w:tabs>
          <w:tab w:val="num" w:pos="5760"/>
        </w:tabs>
        <w:ind w:left="5760" w:hanging="360"/>
      </w:pPr>
      <w:rPr>
        <w:rFonts w:ascii="Arial" w:hAnsi="Arial" w:hint="default"/>
      </w:rPr>
    </w:lvl>
    <w:lvl w:ilvl="8" w:tplc="26921210" w:tentative="1">
      <w:start w:val="1"/>
      <w:numFmt w:val="bullet"/>
      <w:lvlText w:val="•"/>
      <w:lvlJc w:val="left"/>
      <w:pPr>
        <w:tabs>
          <w:tab w:val="num" w:pos="6480"/>
        </w:tabs>
        <w:ind w:left="6480" w:hanging="360"/>
      </w:pPr>
      <w:rPr>
        <w:rFonts w:ascii="Arial" w:hAnsi="Arial" w:hint="default"/>
      </w:rPr>
    </w:lvl>
  </w:abstractNum>
  <w:abstractNum w:abstractNumId="11">
    <w:nsid w:val="1EB82D50"/>
    <w:multiLevelType w:val="hybridMultilevel"/>
    <w:tmpl w:val="49769912"/>
    <w:lvl w:ilvl="0" w:tplc="B74201B4">
      <w:start w:val="1"/>
      <w:numFmt w:val="bullet"/>
      <w:lvlText w:val="•"/>
      <w:lvlJc w:val="left"/>
      <w:pPr>
        <w:tabs>
          <w:tab w:val="num" w:pos="720"/>
        </w:tabs>
        <w:ind w:left="720" w:hanging="360"/>
      </w:pPr>
      <w:rPr>
        <w:rFonts w:ascii="Arial" w:hAnsi="Arial" w:hint="default"/>
      </w:rPr>
    </w:lvl>
    <w:lvl w:ilvl="1" w:tplc="9C20F28E">
      <w:start w:val="114"/>
      <w:numFmt w:val="bullet"/>
      <w:lvlText w:val="–"/>
      <w:lvlJc w:val="left"/>
      <w:pPr>
        <w:tabs>
          <w:tab w:val="num" w:pos="1440"/>
        </w:tabs>
        <w:ind w:left="1440" w:hanging="360"/>
      </w:pPr>
      <w:rPr>
        <w:rFonts w:ascii="Arial" w:hAnsi="Arial" w:hint="default"/>
      </w:rPr>
    </w:lvl>
    <w:lvl w:ilvl="2" w:tplc="CF16FD0A" w:tentative="1">
      <w:start w:val="1"/>
      <w:numFmt w:val="bullet"/>
      <w:lvlText w:val="•"/>
      <w:lvlJc w:val="left"/>
      <w:pPr>
        <w:tabs>
          <w:tab w:val="num" w:pos="2160"/>
        </w:tabs>
        <w:ind w:left="2160" w:hanging="360"/>
      </w:pPr>
      <w:rPr>
        <w:rFonts w:ascii="Arial" w:hAnsi="Arial" w:hint="default"/>
      </w:rPr>
    </w:lvl>
    <w:lvl w:ilvl="3" w:tplc="F0F6BC14" w:tentative="1">
      <w:start w:val="1"/>
      <w:numFmt w:val="bullet"/>
      <w:lvlText w:val="•"/>
      <w:lvlJc w:val="left"/>
      <w:pPr>
        <w:tabs>
          <w:tab w:val="num" w:pos="2880"/>
        </w:tabs>
        <w:ind w:left="2880" w:hanging="360"/>
      </w:pPr>
      <w:rPr>
        <w:rFonts w:ascii="Arial" w:hAnsi="Arial" w:hint="default"/>
      </w:rPr>
    </w:lvl>
    <w:lvl w:ilvl="4" w:tplc="C84A4986" w:tentative="1">
      <w:start w:val="1"/>
      <w:numFmt w:val="bullet"/>
      <w:lvlText w:val="•"/>
      <w:lvlJc w:val="left"/>
      <w:pPr>
        <w:tabs>
          <w:tab w:val="num" w:pos="3600"/>
        </w:tabs>
        <w:ind w:left="3600" w:hanging="360"/>
      </w:pPr>
      <w:rPr>
        <w:rFonts w:ascii="Arial" w:hAnsi="Arial" w:hint="default"/>
      </w:rPr>
    </w:lvl>
    <w:lvl w:ilvl="5" w:tplc="FFC4B7E2" w:tentative="1">
      <w:start w:val="1"/>
      <w:numFmt w:val="bullet"/>
      <w:lvlText w:val="•"/>
      <w:lvlJc w:val="left"/>
      <w:pPr>
        <w:tabs>
          <w:tab w:val="num" w:pos="4320"/>
        </w:tabs>
        <w:ind w:left="4320" w:hanging="360"/>
      </w:pPr>
      <w:rPr>
        <w:rFonts w:ascii="Arial" w:hAnsi="Arial" w:hint="default"/>
      </w:rPr>
    </w:lvl>
    <w:lvl w:ilvl="6" w:tplc="D68425EE" w:tentative="1">
      <w:start w:val="1"/>
      <w:numFmt w:val="bullet"/>
      <w:lvlText w:val="•"/>
      <w:lvlJc w:val="left"/>
      <w:pPr>
        <w:tabs>
          <w:tab w:val="num" w:pos="5040"/>
        </w:tabs>
        <w:ind w:left="5040" w:hanging="360"/>
      </w:pPr>
      <w:rPr>
        <w:rFonts w:ascii="Arial" w:hAnsi="Arial" w:hint="default"/>
      </w:rPr>
    </w:lvl>
    <w:lvl w:ilvl="7" w:tplc="6C1853EE" w:tentative="1">
      <w:start w:val="1"/>
      <w:numFmt w:val="bullet"/>
      <w:lvlText w:val="•"/>
      <w:lvlJc w:val="left"/>
      <w:pPr>
        <w:tabs>
          <w:tab w:val="num" w:pos="5760"/>
        </w:tabs>
        <w:ind w:left="5760" w:hanging="360"/>
      </w:pPr>
      <w:rPr>
        <w:rFonts w:ascii="Arial" w:hAnsi="Arial" w:hint="default"/>
      </w:rPr>
    </w:lvl>
    <w:lvl w:ilvl="8" w:tplc="535C802A" w:tentative="1">
      <w:start w:val="1"/>
      <w:numFmt w:val="bullet"/>
      <w:lvlText w:val="•"/>
      <w:lvlJc w:val="left"/>
      <w:pPr>
        <w:tabs>
          <w:tab w:val="num" w:pos="6480"/>
        </w:tabs>
        <w:ind w:left="6480" w:hanging="360"/>
      </w:pPr>
      <w:rPr>
        <w:rFonts w:ascii="Arial" w:hAnsi="Arial" w:hint="default"/>
      </w:rPr>
    </w:lvl>
  </w:abstractNum>
  <w:abstractNum w:abstractNumId="12">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9A40035"/>
    <w:multiLevelType w:val="hybridMultilevel"/>
    <w:tmpl w:val="2AA8FC68"/>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3B0826BC">
      <w:start w:val="1"/>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066BA9"/>
    <w:multiLevelType w:val="hybridMultilevel"/>
    <w:tmpl w:val="DF22C104"/>
    <w:lvl w:ilvl="0" w:tplc="5C6C2CFC">
      <w:numFmt w:val="bullet"/>
      <w:lvlText w:val="-"/>
      <w:lvlJc w:val="left"/>
      <w:pPr>
        <w:ind w:left="0" w:hanging="420"/>
      </w:pPr>
      <w:rPr>
        <w:rFonts w:ascii="Times New Roman" w:eastAsia="Times New Roman" w:hAnsi="Times New Roman" w:cs="Times New Roman"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3B0826BC">
      <w:start w:val="1"/>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nsid w:val="462238C3"/>
    <w:multiLevelType w:val="hybridMultilevel"/>
    <w:tmpl w:val="AD7CDC5E"/>
    <w:lvl w:ilvl="0" w:tplc="DD00D7C4">
      <w:start w:val="1"/>
      <w:numFmt w:val="bullet"/>
      <w:lvlText w:val=""/>
      <w:lvlJc w:val="left"/>
      <w:pPr>
        <w:ind w:left="0" w:hanging="420"/>
      </w:pPr>
      <w:rPr>
        <w:rFonts w:ascii="Symbol" w:hAnsi="Symbol" w:hint="default"/>
      </w:rPr>
    </w:lvl>
    <w:lvl w:ilvl="1" w:tplc="9CB65A32">
      <w:start w:val="2"/>
      <w:numFmt w:val="bullet"/>
      <w:lvlText w:val="•"/>
      <w:lvlJc w:val="left"/>
      <w:pPr>
        <w:ind w:left="420" w:hanging="420"/>
      </w:pPr>
      <w:rPr>
        <w:rFonts w:ascii="宋体" w:eastAsia="宋体" w:hAnsi="宋体" w:cs="Times New Roman" w:hint="eastAsia"/>
      </w:rPr>
    </w:lvl>
    <w:lvl w:ilvl="2" w:tplc="04090005">
      <w:start w:val="1"/>
      <w:numFmt w:val="bullet"/>
      <w:lvlText w:val=""/>
      <w:lvlJc w:val="left"/>
      <w:pPr>
        <w:ind w:left="840" w:hanging="420"/>
      </w:pPr>
      <w:rPr>
        <w:rFonts w:ascii="Wingdings" w:hAnsi="Wingdings" w:hint="default"/>
      </w:rPr>
    </w:lvl>
    <w:lvl w:ilvl="3" w:tplc="0409000F">
      <w:start w:val="1"/>
      <w:numFmt w:val="decimal"/>
      <w:lvlText w:val="%4."/>
      <w:lvlJc w:val="left"/>
      <w:pPr>
        <w:ind w:left="1260" w:hanging="420"/>
      </w:pPr>
      <w:rPr>
        <w:rFont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5">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6"/>
  </w:num>
  <w:num w:numId="9">
    <w:abstractNumId w:val="18"/>
  </w:num>
  <w:num w:numId="10">
    <w:abstractNumId w:val="16"/>
  </w:num>
  <w:num w:numId="11">
    <w:abstractNumId w:val="14"/>
  </w:num>
  <w:num w:numId="12">
    <w:abstractNumId w:val="9"/>
  </w:num>
  <w:num w:numId="13">
    <w:abstractNumId w:val="25"/>
  </w:num>
  <w:num w:numId="14">
    <w:abstractNumId w:val="13"/>
  </w:num>
  <w:num w:numId="15">
    <w:abstractNumId w:val="8"/>
  </w:num>
  <w:num w:numId="16">
    <w:abstractNumId w:val="30"/>
  </w:num>
  <w:num w:numId="17">
    <w:abstractNumId w:val="15"/>
  </w:num>
  <w:num w:numId="18">
    <w:abstractNumId w:val="28"/>
  </w:num>
  <w:num w:numId="19">
    <w:abstractNumId w:val="12"/>
  </w:num>
  <w:num w:numId="20">
    <w:abstractNumId w:val="17"/>
  </w:num>
  <w:num w:numId="21">
    <w:abstractNumId w:val="27"/>
  </w:num>
  <w:num w:numId="22">
    <w:abstractNumId w:val="31"/>
  </w:num>
  <w:num w:numId="23">
    <w:abstractNumId w:val="24"/>
  </w:num>
  <w:num w:numId="24">
    <w:abstractNumId w:val="21"/>
  </w:num>
  <w:num w:numId="25">
    <w:abstractNumId w:val="20"/>
  </w:num>
  <w:num w:numId="26">
    <w:abstractNumId w:val="29"/>
  </w:num>
  <w:num w:numId="27">
    <w:abstractNumId w:val="7"/>
  </w:num>
  <w:num w:numId="28">
    <w:abstractNumId w:val="22"/>
  </w:num>
  <w:num w:numId="29">
    <w:abstractNumId w:val="10"/>
  </w:num>
  <w:num w:numId="30">
    <w:abstractNumId w:val="23"/>
  </w:num>
  <w:num w:numId="31">
    <w:abstractNumId w:val="1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64BD"/>
    <w:rsid w:val="0001038D"/>
    <w:rsid w:val="00017524"/>
    <w:rsid w:val="00021CED"/>
    <w:rsid w:val="00022941"/>
    <w:rsid w:val="00022AC0"/>
    <w:rsid w:val="000235E9"/>
    <w:rsid w:val="000262B9"/>
    <w:rsid w:val="00031D75"/>
    <w:rsid w:val="00031E34"/>
    <w:rsid w:val="00032669"/>
    <w:rsid w:val="00035C2E"/>
    <w:rsid w:val="000361EA"/>
    <w:rsid w:val="00037A84"/>
    <w:rsid w:val="00037E40"/>
    <w:rsid w:val="0004455E"/>
    <w:rsid w:val="000454A9"/>
    <w:rsid w:val="0005251E"/>
    <w:rsid w:val="0006136D"/>
    <w:rsid w:val="00061E36"/>
    <w:rsid w:val="00062E39"/>
    <w:rsid w:val="00065FBC"/>
    <w:rsid w:val="00077EB3"/>
    <w:rsid w:val="00085E46"/>
    <w:rsid w:val="000908D9"/>
    <w:rsid w:val="00092B0C"/>
    <w:rsid w:val="00097642"/>
    <w:rsid w:val="000A567D"/>
    <w:rsid w:val="000A643B"/>
    <w:rsid w:val="000A6859"/>
    <w:rsid w:val="000B0067"/>
    <w:rsid w:val="000B4F74"/>
    <w:rsid w:val="000B7218"/>
    <w:rsid w:val="000C39B0"/>
    <w:rsid w:val="000C678D"/>
    <w:rsid w:val="000D1375"/>
    <w:rsid w:val="000D18EC"/>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280"/>
    <w:rsid w:val="00104902"/>
    <w:rsid w:val="0010618D"/>
    <w:rsid w:val="00112950"/>
    <w:rsid w:val="00116429"/>
    <w:rsid w:val="001214AE"/>
    <w:rsid w:val="00122190"/>
    <w:rsid w:val="0012277A"/>
    <w:rsid w:val="0012444A"/>
    <w:rsid w:val="00125A5E"/>
    <w:rsid w:val="0012615B"/>
    <w:rsid w:val="00126E1A"/>
    <w:rsid w:val="00131AFF"/>
    <w:rsid w:val="00133395"/>
    <w:rsid w:val="001351EB"/>
    <w:rsid w:val="00135A74"/>
    <w:rsid w:val="0014180B"/>
    <w:rsid w:val="00144F7C"/>
    <w:rsid w:val="00144FDD"/>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69F3"/>
    <w:rsid w:val="001D747B"/>
    <w:rsid w:val="001E21C9"/>
    <w:rsid w:val="001E3B48"/>
    <w:rsid w:val="001E4305"/>
    <w:rsid w:val="001F62BD"/>
    <w:rsid w:val="00200596"/>
    <w:rsid w:val="00201520"/>
    <w:rsid w:val="00201FB4"/>
    <w:rsid w:val="00202E77"/>
    <w:rsid w:val="00203D36"/>
    <w:rsid w:val="002119BC"/>
    <w:rsid w:val="00213653"/>
    <w:rsid w:val="00214B13"/>
    <w:rsid w:val="002151EE"/>
    <w:rsid w:val="00216428"/>
    <w:rsid w:val="002167A7"/>
    <w:rsid w:val="002175EE"/>
    <w:rsid w:val="002208D9"/>
    <w:rsid w:val="00222D56"/>
    <w:rsid w:val="00222D66"/>
    <w:rsid w:val="002267B2"/>
    <w:rsid w:val="00235EE7"/>
    <w:rsid w:val="0023778F"/>
    <w:rsid w:val="002414AB"/>
    <w:rsid w:val="00241773"/>
    <w:rsid w:val="00244785"/>
    <w:rsid w:val="00246ACE"/>
    <w:rsid w:val="002476C8"/>
    <w:rsid w:val="00251CFA"/>
    <w:rsid w:val="00253CE9"/>
    <w:rsid w:val="002553F6"/>
    <w:rsid w:val="00256DDC"/>
    <w:rsid w:val="0026064B"/>
    <w:rsid w:val="002611B2"/>
    <w:rsid w:val="00266CCC"/>
    <w:rsid w:val="002702A8"/>
    <w:rsid w:val="002715F5"/>
    <w:rsid w:val="00271A13"/>
    <w:rsid w:val="00271A4B"/>
    <w:rsid w:val="00271E8B"/>
    <w:rsid w:val="00272536"/>
    <w:rsid w:val="00281315"/>
    <w:rsid w:val="00281EEF"/>
    <w:rsid w:val="002820E8"/>
    <w:rsid w:val="002927A0"/>
    <w:rsid w:val="00292875"/>
    <w:rsid w:val="00293E95"/>
    <w:rsid w:val="00295976"/>
    <w:rsid w:val="002960BC"/>
    <w:rsid w:val="002963A8"/>
    <w:rsid w:val="00296FE3"/>
    <w:rsid w:val="002A08FE"/>
    <w:rsid w:val="002A0EE7"/>
    <w:rsid w:val="002A1465"/>
    <w:rsid w:val="002A1534"/>
    <w:rsid w:val="002A1C01"/>
    <w:rsid w:val="002A35C0"/>
    <w:rsid w:val="002B09A1"/>
    <w:rsid w:val="002B2704"/>
    <w:rsid w:val="002B3F06"/>
    <w:rsid w:val="002B76BD"/>
    <w:rsid w:val="002C188C"/>
    <w:rsid w:val="002C65B6"/>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1DD0"/>
    <w:rsid w:val="00302E72"/>
    <w:rsid w:val="003030FB"/>
    <w:rsid w:val="0030770F"/>
    <w:rsid w:val="00314F38"/>
    <w:rsid w:val="00324D06"/>
    <w:rsid w:val="00327F41"/>
    <w:rsid w:val="00330AB5"/>
    <w:rsid w:val="00331FD7"/>
    <w:rsid w:val="00333C34"/>
    <w:rsid w:val="0034635A"/>
    <w:rsid w:val="003476B3"/>
    <w:rsid w:val="00351D53"/>
    <w:rsid w:val="0035781C"/>
    <w:rsid w:val="00360EAB"/>
    <w:rsid w:val="00365A0B"/>
    <w:rsid w:val="003665F7"/>
    <w:rsid w:val="00367DF1"/>
    <w:rsid w:val="003701E8"/>
    <w:rsid w:val="00375439"/>
    <w:rsid w:val="00375AA5"/>
    <w:rsid w:val="003760F5"/>
    <w:rsid w:val="00376FE4"/>
    <w:rsid w:val="00387300"/>
    <w:rsid w:val="0038770D"/>
    <w:rsid w:val="00392B77"/>
    <w:rsid w:val="0039591D"/>
    <w:rsid w:val="00396CB4"/>
    <w:rsid w:val="0039732A"/>
    <w:rsid w:val="003A0421"/>
    <w:rsid w:val="003A1D5C"/>
    <w:rsid w:val="003A281C"/>
    <w:rsid w:val="003A43B2"/>
    <w:rsid w:val="003A4CD3"/>
    <w:rsid w:val="003B2D77"/>
    <w:rsid w:val="003B3C8C"/>
    <w:rsid w:val="003B4BF2"/>
    <w:rsid w:val="003B6F17"/>
    <w:rsid w:val="003C0BAF"/>
    <w:rsid w:val="003C3383"/>
    <w:rsid w:val="003D4428"/>
    <w:rsid w:val="003D570B"/>
    <w:rsid w:val="003D5A84"/>
    <w:rsid w:val="003E244A"/>
    <w:rsid w:val="003E45A0"/>
    <w:rsid w:val="003E4CBC"/>
    <w:rsid w:val="003E722B"/>
    <w:rsid w:val="003F01CB"/>
    <w:rsid w:val="003F1C99"/>
    <w:rsid w:val="003F30E0"/>
    <w:rsid w:val="003F6DA5"/>
    <w:rsid w:val="003F75AC"/>
    <w:rsid w:val="00401D41"/>
    <w:rsid w:val="004062E5"/>
    <w:rsid w:val="00407CB8"/>
    <w:rsid w:val="004127B2"/>
    <w:rsid w:val="00413286"/>
    <w:rsid w:val="00414CE5"/>
    <w:rsid w:val="00415D3D"/>
    <w:rsid w:val="00416764"/>
    <w:rsid w:val="0041681C"/>
    <w:rsid w:val="00424D1C"/>
    <w:rsid w:val="004300EC"/>
    <w:rsid w:val="00432734"/>
    <w:rsid w:val="00432D09"/>
    <w:rsid w:val="00435B76"/>
    <w:rsid w:val="004509CB"/>
    <w:rsid w:val="004524FE"/>
    <w:rsid w:val="004541E5"/>
    <w:rsid w:val="0045428D"/>
    <w:rsid w:val="004544D6"/>
    <w:rsid w:val="00456017"/>
    <w:rsid w:val="00457F94"/>
    <w:rsid w:val="004601B1"/>
    <w:rsid w:val="004609D7"/>
    <w:rsid w:val="00461C6A"/>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75DD"/>
    <w:rsid w:val="004B37BC"/>
    <w:rsid w:val="004B3B08"/>
    <w:rsid w:val="004B7001"/>
    <w:rsid w:val="004C1484"/>
    <w:rsid w:val="004C4B54"/>
    <w:rsid w:val="004C7E10"/>
    <w:rsid w:val="004D17AA"/>
    <w:rsid w:val="004D1D2D"/>
    <w:rsid w:val="004D3585"/>
    <w:rsid w:val="004D43C9"/>
    <w:rsid w:val="004D59D7"/>
    <w:rsid w:val="004D7D70"/>
    <w:rsid w:val="004E0CCF"/>
    <w:rsid w:val="004E11D7"/>
    <w:rsid w:val="004E46A9"/>
    <w:rsid w:val="004F6C74"/>
    <w:rsid w:val="00505F2F"/>
    <w:rsid w:val="005120D5"/>
    <w:rsid w:val="005160BC"/>
    <w:rsid w:val="00521539"/>
    <w:rsid w:val="005266F8"/>
    <w:rsid w:val="00532DE4"/>
    <w:rsid w:val="00532EAA"/>
    <w:rsid w:val="005341AC"/>
    <w:rsid w:val="00534509"/>
    <w:rsid w:val="00537FB5"/>
    <w:rsid w:val="00545BAE"/>
    <w:rsid w:val="005520D7"/>
    <w:rsid w:val="005522C9"/>
    <w:rsid w:val="005524BF"/>
    <w:rsid w:val="005536D9"/>
    <w:rsid w:val="00562289"/>
    <w:rsid w:val="00562430"/>
    <w:rsid w:val="00562DA2"/>
    <w:rsid w:val="0056467B"/>
    <w:rsid w:val="00566A51"/>
    <w:rsid w:val="00566BC5"/>
    <w:rsid w:val="00570432"/>
    <w:rsid w:val="00571120"/>
    <w:rsid w:val="0057452A"/>
    <w:rsid w:val="005839AE"/>
    <w:rsid w:val="0058669B"/>
    <w:rsid w:val="0059257A"/>
    <w:rsid w:val="00594B0C"/>
    <w:rsid w:val="0059740E"/>
    <w:rsid w:val="0059794A"/>
    <w:rsid w:val="00597FAA"/>
    <w:rsid w:val="005A0F40"/>
    <w:rsid w:val="005A11AB"/>
    <w:rsid w:val="005A5500"/>
    <w:rsid w:val="005B03DB"/>
    <w:rsid w:val="005B07E1"/>
    <w:rsid w:val="005B16F2"/>
    <w:rsid w:val="005B191A"/>
    <w:rsid w:val="005B4A28"/>
    <w:rsid w:val="005B7699"/>
    <w:rsid w:val="005B7B72"/>
    <w:rsid w:val="005C0D66"/>
    <w:rsid w:val="005C1194"/>
    <w:rsid w:val="005C11A1"/>
    <w:rsid w:val="005C40A7"/>
    <w:rsid w:val="005D1530"/>
    <w:rsid w:val="005D1BD4"/>
    <w:rsid w:val="005D2EF9"/>
    <w:rsid w:val="005D3879"/>
    <w:rsid w:val="005D3A97"/>
    <w:rsid w:val="005E1B49"/>
    <w:rsid w:val="005E1DB3"/>
    <w:rsid w:val="005E2B0B"/>
    <w:rsid w:val="005E4466"/>
    <w:rsid w:val="005E61DE"/>
    <w:rsid w:val="005E6E73"/>
    <w:rsid w:val="005E7040"/>
    <w:rsid w:val="005F26A5"/>
    <w:rsid w:val="005F33D7"/>
    <w:rsid w:val="005F35A7"/>
    <w:rsid w:val="00600A82"/>
    <w:rsid w:val="0060357A"/>
    <w:rsid w:val="0060402D"/>
    <w:rsid w:val="00606A5C"/>
    <w:rsid w:val="006126E1"/>
    <w:rsid w:val="00613A36"/>
    <w:rsid w:val="00614B5C"/>
    <w:rsid w:val="00620F8A"/>
    <w:rsid w:val="00627153"/>
    <w:rsid w:val="00635840"/>
    <w:rsid w:val="006360DE"/>
    <w:rsid w:val="00636904"/>
    <w:rsid w:val="00642DD8"/>
    <w:rsid w:val="006443D3"/>
    <w:rsid w:val="006465F2"/>
    <w:rsid w:val="00652416"/>
    <w:rsid w:val="00663B65"/>
    <w:rsid w:val="00664963"/>
    <w:rsid w:val="00674D9B"/>
    <w:rsid w:val="0068118E"/>
    <w:rsid w:val="006834CE"/>
    <w:rsid w:val="00687DAF"/>
    <w:rsid w:val="00691155"/>
    <w:rsid w:val="00691500"/>
    <w:rsid w:val="00694771"/>
    <w:rsid w:val="00695F3B"/>
    <w:rsid w:val="006A0689"/>
    <w:rsid w:val="006A084D"/>
    <w:rsid w:val="006A3949"/>
    <w:rsid w:val="006A3DD3"/>
    <w:rsid w:val="006A5A9F"/>
    <w:rsid w:val="006B00EC"/>
    <w:rsid w:val="006B1BAA"/>
    <w:rsid w:val="006B3E20"/>
    <w:rsid w:val="006B4A0C"/>
    <w:rsid w:val="006B4F48"/>
    <w:rsid w:val="006B592B"/>
    <w:rsid w:val="006C0280"/>
    <w:rsid w:val="006C14EE"/>
    <w:rsid w:val="006C3160"/>
    <w:rsid w:val="006C4938"/>
    <w:rsid w:val="006C6CCF"/>
    <w:rsid w:val="006D244C"/>
    <w:rsid w:val="006D5E7B"/>
    <w:rsid w:val="006D7F36"/>
    <w:rsid w:val="006E06A3"/>
    <w:rsid w:val="006E159B"/>
    <w:rsid w:val="006E1DCD"/>
    <w:rsid w:val="006E274D"/>
    <w:rsid w:val="006E495B"/>
    <w:rsid w:val="006F2300"/>
    <w:rsid w:val="006F5D2F"/>
    <w:rsid w:val="006F77A5"/>
    <w:rsid w:val="007009E6"/>
    <w:rsid w:val="0070412E"/>
    <w:rsid w:val="00705684"/>
    <w:rsid w:val="00706B0F"/>
    <w:rsid w:val="007070AF"/>
    <w:rsid w:val="007077C3"/>
    <w:rsid w:val="00707BAC"/>
    <w:rsid w:val="00713B49"/>
    <w:rsid w:val="00713D4F"/>
    <w:rsid w:val="00721F34"/>
    <w:rsid w:val="00722C80"/>
    <w:rsid w:val="00723CBE"/>
    <w:rsid w:val="007244F1"/>
    <w:rsid w:val="007254B7"/>
    <w:rsid w:val="007256B4"/>
    <w:rsid w:val="00733CD6"/>
    <w:rsid w:val="00741F57"/>
    <w:rsid w:val="007477B0"/>
    <w:rsid w:val="00752554"/>
    <w:rsid w:val="00753BFB"/>
    <w:rsid w:val="00757789"/>
    <w:rsid w:val="00757E61"/>
    <w:rsid w:val="00763E7F"/>
    <w:rsid w:val="00766B19"/>
    <w:rsid w:val="00773D2F"/>
    <w:rsid w:val="00774F6F"/>
    <w:rsid w:val="00777225"/>
    <w:rsid w:val="007773D9"/>
    <w:rsid w:val="007816A2"/>
    <w:rsid w:val="00783107"/>
    <w:rsid w:val="00787532"/>
    <w:rsid w:val="0079056A"/>
    <w:rsid w:val="00791CE3"/>
    <w:rsid w:val="00792165"/>
    <w:rsid w:val="00795AC4"/>
    <w:rsid w:val="007A1A88"/>
    <w:rsid w:val="007A1C3F"/>
    <w:rsid w:val="007A305C"/>
    <w:rsid w:val="007A4163"/>
    <w:rsid w:val="007A74D9"/>
    <w:rsid w:val="007B0169"/>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80320A"/>
    <w:rsid w:val="00804438"/>
    <w:rsid w:val="00805A8B"/>
    <w:rsid w:val="00811641"/>
    <w:rsid w:val="0081645C"/>
    <w:rsid w:val="00816A2B"/>
    <w:rsid w:val="0082323B"/>
    <w:rsid w:val="008260DD"/>
    <w:rsid w:val="00830C2E"/>
    <w:rsid w:val="00835AEA"/>
    <w:rsid w:val="00840344"/>
    <w:rsid w:val="00843682"/>
    <w:rsid w:val="00843945"/>
    <w:rsid w:val="00845CD4"/>
    <w:rsid w:val="00850213"/>
    <w:rsid w:val="00854CDE"/>
    <w:rsid w:val="008561B0"/>
    <w:rsid w:val="00862D21"/>
    <w:rsid w:val="00873078"/>
    <w:rsid w:val="008763BE"/>
    <w:rsid w:val="00881ABF"/>
    <w:rsid w:val="00881B6A"/>
    <w:rsid w:val="00885E3A"/>
    <w:rsid w:val="0089500C"/>
    <w:rsid w:val="008A4C1E"/>
    <w:rsid w:val="008A54A4"/>
    <w:rsid w:val="008B1EDC"/>
    <w:rsid w:val="008B3FFC"/>
    <w:rsid w:val="008B5B7D"/>
    <w:rsid w:val="008C1A14"/>
    <w:rsid w:val="008C3CA2"/>
    <w:rsid w:val="008C48DA"/>
    <w:rsid w:val="008D305A"/>
    <w:rsid w:val="008D401C"/>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3F24"/>
    <w:rsid w:val="00906CD4"/>
    <w:rsid w:val="009108B0"/>
    <w:rsid w:val="00912B0E"/>
    <w:rsid w:val="00915AEB"/>
    <w:rsid w:val="00915ECD"/>
    <w:rsid w:val="00916F8E"/>
    <w:rsid w:val="00921764"/>
    <w:rsid w:val="00921957"/>
    <w:rsid w:val="0092542D"/>
    <w:rsid w:val="00932943"/>
    <w:rsid w:val="00934028"/>
    <w:rsid w:val="0093408A"/>
    <w:rsid w:val="00934DE1"/>
    <w:rsid w:val="00936E81"/>
    <w:rsid w:val="0094130A"/>
    <w:rsid w:val="00943C8B"/>
    <w:rsid w:val="00954D53"/>
    <w:rsid w:val="00956109"/>
    <w:rsid w:val="0096054F"/>
    <w:rsid w:val="00960638"/>
    <w:rsid w:val="00962566"/>
    <w:rsid w:val="00964EE2"/>
    <w:rsid w:val="009673C2"/>
    <w:rsid w:val="00970373"/>
    <w:rsid w:val="009718D1"/>
    <w:rsid w:val="0097566C"/>
    <w:rsid w:val="00976BAB"/>
    <w:rsid w:val="00977122"/>
    <w:rsid w:val="0098447D"/>
    <w:rsid w:val="00984A75"/>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096A"/>
    <w:rsid w:val="009E2A58"/>
    <w:rsid w:val="009E5228"/>
    <w:rsid w:val="009E54DA"/>
    <w:rsid w:val="009E60F6"/>
    <w:rsid w:val="009E6DAC"/>
    <w:rsid w:val="009F4D0F"/>
    <w:rsid w:val="00A04F2A"/>
    <w:rsid w:val="00A10D42"/>
    <w:rsid w:val="00A116A0"/>
    <w:rsid w:val="00A11A45"/>
    <w:rsid w:val="00A167BE"/>
    <w:rsid w:val="00A17D67"/>
    <w:rsid w:val="00A2251C"/>
    <w:rsid w:val="00A307F8"/>
    <w:rsid w:val="00A30923"/>
    <w:rsid w:val="00A315E3"/>
    <w:rsid w:val="00A34971"/>
    <w:rsid w:val="00A36C3D"/>
    <w:rsid w:val="00A45C69"/>
    <w:rsid w:val="00A46198"/>
    <w:rsid w:val="00A47107"/>
    <w:rsid w:val="00A477B2"/>
    <w:rsid w:val="00A517EF"/>
    <w:rsid w:val="00A51DCB"/>
    <w:rsid w:val="00A52B8B"/>
    <w:rsid w:val="00A53D14"/>
    <w:rsid w:val="00A53F81"/>
    <w:rsid w:val="00A549C2"/>
    <w:rsid w:val="00A5551B"/>
    <w:rsid w:val="00A56496"/>
    <w:rsid w:val="00A6324D"/>
    <w:rsid w:val="00A641C1"/>
    <w:rsid w:val="00A770F1"/>
    <w:rsid w:val="00A812C2"/>
    <w:rsid w:val="00A8315B"/>
    <w:rsid w:val="00A857B5"/>
    <w:rsid w:val="00A87689"/>
    <w:rsid w:val="00A92091"/>
    <w:rsid w:val="00A93BFE"/>
    <w:rsid w:val="00A948A5"/>
    <w:rsid w:val="00AA29A2"/>
    <w:rsid w:val="00AA32D4"/>
    <w:rsid w:val="00AA33EC"/>
    <w:rsid w:val="00AA3D9A"/>
    <w:rsid w:val="00AA4A5A"/>
    <w:rsid w:val="00AA57EC"/>
    <w:rsid w:val="00AA6AE6"/>
    <w:rsid w:val="00AA6C2D"/>
    <w:rsid w:val="00AB357F"/>
    <w:rsid w:val="00AB66DB"/>
    <w:rsid w:val="00AB6DDF"/>
    <w:rsid w:val="00AC0BF0"/>
    <w:rsid w:val="00AC2AA6"/>
    <w:rsid w:val="00AD3E3F"/>
    <w:rsid w:val="00AD4335"/>
    <w:rsid w:val="00AD6423"/>
    <w:rsid w:val="00AD73C1"/>
    <w:rsid w:val="00AD7D8B"/>
    <w:rsid w:val="00AE0DB0"/>
    <w:rsid w:val="00AE50EC"/>
    <w:rsid w:val="00AF0505"/>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577D"/>
    <w:rsid w:val="00B3741F"/>
    <w:rsid w:val="00B40E28"/>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6327D"/>
    <w:rsid w:val="00B74655"/>
    <w:rsid w:val="00B74ADF"/>
    <w:rsid w:val="00B7523E"/>
    <w:rsid w:val="00B753CF"/>
    <w:rsid w:val="00B7550F"/>
    <w:rsid w:val="00B75D76"/>
    <w:rsid w:val="00B76020"/>
    <w:rsid w:val="00B77567"/>
    <w:rsid w:val="00B81F12"/>
    <w:rsid w:val="00B86088"/>
    <w:rsid w:val="00B90EDB"/>
    <w:rsid w:val="00B9250E"/>
    <w:rsid w:val="00B94B0F"/>
    <w:rsid w:val="00BA3C61"/>
    <w:rsid w:val="00BA4C5D"/>
    <w:rsid w:val="00BA4DF2"/>
    <w:rsid w:val="00BA7246"/>
    <w:rsid w:val="00BB0856"/>
    <w:rsid w:val="00BB140D"/>
    <w:rsid w:val="00BB2DCE"/>
    <w:rsid w:val="00BB43CE"/>
    <w:rsid w:val="00BC1273"/>
    <w:rsid w:val="00BC160C"/>
    <w:rsid w:val="00BC43EC"/>
    <w:rsid w:val="00BE0EF3"/>
    <w:rsid w:val="00BE1BA1"/>
    <w:rsid w:val="00BE3C14"/>
    <w:rsid w:val="00BF3C2F"/>
    <w:rsid w:val="00BF4421"/>
    <w:rsid w:val="00C00824"/>
    <w:rsid w:val="00C008BA"/>
    <w:rsid w:val="00C01262"/>
    <w:rsid w:val="00C02544"/>
    <w:rsid w:val="00C03FE3"/>
    <w:rsid w:val="00C050BC"/>
    <w:rsid w:val="00C06D5E"/>
    <w:rsid w:val="00C07551"/>
    <w:rsid w:val="00C10C7E"/>
    <w:rsid w:val="00C1122E"/>
    <w:rsid w:val="00C1219E"/>
    <w:rsid w:val="00C21D61"/>
    <w:rsid w:val="00C2400B"/>
    <w:rsid w:val="00C240C2"/>
    <w:rsid w:val="00C26F39"/>
    <w:rsid w:val="00C32014"/>
    <w:rsid w:val="00C32114"/>
    <w:rsid w:val="00C32D04"/>
    <w:rsid w:val="00C33EEE"/>
    <w:rsid w:val="00C3557A"/>
    <w:rsid w:val="00C35C3E"/>
    <w:rsid w:val="00C36644"/>
    <w:rsid w:val="00C45FFE"/>
    <w:rsid w:val="00C46A5D"/>
    <w:rsid w:val="00C51460"/>
    <w:rsid w:val="00C51D0C"/>
    <w:rsid w:val="00C56833"/>
    <w:rsid w:val="00C56E53"/>
    <w:rsid w:val="00C60AC9"/>
    <w:rsid w:val="00C74AEF"/>
    <w:rsid w:val="00C766A4"/>
    <w:rsid w:val="00C77F34"/>
    <w:rsid w:val="00C829AC"/>
    <w:rsid w:val="00C83458"/>
    <w:rsid w:val="00C83E56"/>
    <w:rsid w:val="00C87836"/>
    <w:rsid w:val="00C908CF"/>
    <w:rsid w:val="00C9521B"/>
    <w:rsid w:val="00CA134D"/>
    <w:rsid w:val="00CB171D"/>
    <w:rsid w:val="00CB635A"/>
    <w:rsid w:val="00CB6B45"/>
    <w:rsid w:val="00CC11B4"/>
    <w:rsid w:val="00CC1CFE"/>
    <w:rsid w:val="00CC2FB1"/>
    <w:rsid w:val="00CC358C"/>
    <w:rsid w:val="00CC3F06"/>
    <w:rsid w:val="00CD230E"/>
    <w:rsid w:val="00CD2E25"/>
    <w:rsid w:val="00CD36F5"/>
    <w:rsid w:val="00CD6C1C"/>
    <w:rsid w:val="00CE3E8B"/>
    <w:rsid w:val="00CE5127"/>
    <w:rsid w:val="00CE6D8D"/>
    <w:rsid w:val="00CF2230"/>
    <w:rsid w:val="00CF3165"/>
    <w:rsid w:val="00CF3819"/>
    <w:rsid w:val="00CF4CB6"/>
    <w:rsid w:val="00D20034"/>
    <w:rsid w:val="00D210A7"/>
    <w:rsid w:val="00D22E26"/>
    <w:rsid w:val="00D2529E"/>
    <w:rsid w:val="00D3208D"/>
    <w:rsid w:val="00D32C1B"/>
    <w:rsid w:val="00D33F43"/>
    <w:rsid w:val="00D35B3D"/>
    <w:rsid w:val="00D3699F"/>
    <w:rsid w:val="00D43454"/>
    <w:rsid w:val="00D43BEF"/>
    <w:rsid w:val="00D45657"/>
    <w:rsid w:val="00D5193D"/>
    <w:rsid w:val="00D52B1D"/>
    <w:rsid w:val="00D52E46"/>
    <w:rsid w:val="00D54768"/>
    <w:rsid w:val="00D57735"/>
    <w:rsid w:val="00D620BA"/>
    <w:rsid w:val="00D62530"/>
    <w:rsid w:val="00D65CEF"/>
    <w:rsid w:val="00D66097"/>
    <w:rsid w:val="00D709B7"/>
    <w:rsid w:val="00D81C65"/>
    <w:rsid w:val="00D834AB"/>
    <w:rsid w:val="00D84406"/>
    <w:rsid w:val="00D92533"/>
    <w:rsid w:val="00D92CB5"/>
    <w:rsid w:val="00DA1D30"/>
    <w:rsid w:val="00DA1FE6"/>
    <w:rsid w:val="00DA3470"/>
    <w:rsid w:val="00DA40CF"/>
    <w:rsid w:val="00DA529C"/>
    <w:rsid w:val="00DA5D84"/>
    <w:rsid w:val="00DA730B"/>
    <w:rsid w:val="00DB2F50"/>
    <w:rsid w:val="00DB6C32"/>
    <w:rsid w:val="00DC0E3F"/>
    <w:rsid w:val="00DC278D"/>
    <w:rsid w:val="00DC3625"/>
    <w:rsid w:val="00DC44B8"/>
    <w:rsid w:val="00DC5180"/>
    <w:rsid w:val="00DD001A"/>
    <w:rsid w:val="00DD34BB"/>
    <w:rsid w:val="00DE00E1"/>
    <w:rsid w:val="00DF46FA"/>
    <w:rsid w:val="00E00A95"/>
    <w:rsid w:val="00E00D0C"/>
    <w:rsid w:val="00E033EA"/>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716B6"/>
    <w:rsid w:val="00E727F4"/>
    <w:rsid w:val="00E733D3"/>
    <w:rsid w:val="00E73716"/>
    <w:rsid w:val="00E73A82"/>
    <w:rsid w:val="00E73F5D"/>
    <w:rsid w:val="00E82F3C"/>
    <w:rsid w:val="00E83FB2"/>
    <w:rsid w:val="00E85889"/>
    <w:rsid w:val="00E85F30"/>
    <w:rsid w:val="00E86E27"/>
    <w:rsid w:val="00E8767B"/>
    <w:rsid w:val="00E90AB3"/>
    <w:rsid w:val="00E9253F"/>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4D73"/>
    <w:rsid w:val="00F51864"/>
    <w:rsid w:val="00F56263"/>
    <w:rsid w:val="00F56FF3"/>
    <w:rsid w:val="00F62A38"/>
    <w:rsid w:val="00F64D80"/>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3E6D"/>
    <w:rsid w:val="00FC574F"/>
    <w:rsid w:val="00FC5DDC"/>
    <w:rsid w:val="00FC7B97"/>
    <w:rsid w:val="00FD022D"/>
    <w:rsid w:val="00FD6F3B"/>
    <w:rsid w:val="00FD77DB"/>
    <w:rsid w:val="00FD7C6A"/>
    <w:rsid w:val="00FE023B"/>
    <w:rsid w:val="00FE2D1E"/>
    <w:rsid w:val="00FE2D98"/>
    <w:rsid w:val="00FE3315"/>
    <w:rsid w:val="00FE3E52"/>
    <w:rsid w:val="00FE61C1"/>
    <w:rsid w:val="00FE6B2C"/>
    <w:rsid w:val="00FE6F16"/>
    <w:rsid w:val="00FE7048"/>
    <w:rsid w:val="00FE70F7"/>
    <w:rsid w:val="00FF0A01"/>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paragraph" w:customStyle="1" w:styleId="Doc-text2">
    <w:name w:val="Doc-text2"/>
    <w:basedOn w:val="a"/>
    <w:link w:val="Doc-text2Char"/>
    <w:qFormat/>
    <w:rsid w:val="007A74D9"/>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7A74D9"/>
    <w:rPr>
      <w:rFonts w:ascii="Arial" w:eastAsia="MS Mincho" w:hAnsi="Arial"/>
      <w:szCs w:val="24"/>
      <w:lang w:val="en-GB" w:eastAsia="en-GB"/>
    </w:rPr>
  </w:style>
  <w:style w:type="character" w:customStyle="1" w:styleId="B1Char">
    <w:name w:val="B1 Char"/>
    <w:basedOn w:val="a0"/>
    <w:link w:val="B1"/>
    <w:rsid w:val="007A74D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380228">
      <w:bodyDiv w:val="1"/>
      <w:marLeft w:val="0"/>
      <w:marRight w:val="0"/>
      <w:marTop w:val="0"/>
      <w:marBottom w:val="0"/>
      <w:divBdr>
        <w:top w:val="none" w:sz="0" w:space="0" w:color="auto"/>
        <w:left w:val="none" w:sz="0" w:space="0" w:color="auto"/>
        <w:bottom w:val="none" w:sz="0" w:space="0" w:color="auto"/>
        <w:right w:val="none" w:sz="0" w:space="0" w:color="auto"/>
      </w:divBdr>
      <w:divsChild>
        <w:div w:id="1909537476">
          <w:marLeft w:val="547"/>
          <w:marRight w:val="0"/>
          <w:marTop w:val="134"/>
          <w:marBottom w:val="0"/>
          <w:divBdr>
            <w:top w:val="none" w:sz="0" w:space="0" w:color="auto"/>
            <w:left w:val="none" w:sz="0" w:space="0" w:color="auto"/>
            <w:bottom w:val="none" w:sz="0" w:space="0" w:color="auto"/>
            <w:right w:val="none" w:sz="0" w:space="0" w:color="auto"/>
          </w:divBdr>
        </w:div>
        <w:div w:id="1582789836">
          <w:marLeft w:val="1166"/>
          <w:marRight w:val="0"/>
          <w:marTop w:val="86"/>
          <w:marBottom w:val="0"/>
          <w:divBdr>
            <w:top w:val="none" w:sz="0" w:space="0" w:color="auto"/>
            <w:left w:val="none" w:sz="0" w:space="0" w:color="auto"/>
            <w:bottom w:val="none" w:sz="0" w:space="0" w:color="auto"/>
            <w:right w:val="none" w:sz="0" w:space="0" w:color="auto"/>
          </w:divBdr>
        </w:div>
        <w:div w:id="1198785263">
          <w:marLeft w:val="1800"/>
          <w:marRight w:val="0"/>
          <w:marTop w:val="86"/>
          <w:marBottom w:val="0"/>
          <w:divBdr>
            <w:top w:val="none" w:sz="0" w:space="0" w:color="auto"/>
            <w:left w:val="none" w:sz="0" w:space="0" w:color="auto"/>
            <w:bottom w:val="none" w:sz="0" w:space="0" w:color="auto"/>
            <w:right w:val="none" w:sz="0" w:space="0" w:color="auto"/>
          </w:divBdr>
        </w:div>
        <w:div w:id="97062132">
          <w:marLeft w:val="1800"/>
          <w:marRight w:val="0"/>
          <w:marTop w:val="86"/>
          <w:marBottom w:val="0"/>
          <w:divBdr>
            <w:top w:val="none" w:sz="0" w:space="0" w:color="auto"/>
            <w:left w:val="none" w:sz="0" w:space="0" w:color="auto"/>
            <w:bottom w:val="none" w:sz="0" w:space="0" w:color="auto"/>
            <w:right w:val="none" w:sz="0" w:space="0" w:color="auto"/>
          </w:divBdr>
        </w:div>
        <w:div w:id="1448426290">
          <w:marLeft w:val="1166"/>
          <w:marRight w:val="0"/>
          <w:marTop w:val="86"/>
          <w:marBottom w:val="0"/>
          <w:divBdr>
            <w:top w:val="none" w:sz="0" w:space="0" w:color="auto"/>
            <w:left w:val="none" w:sz="0" w:space="0" w:color="auto"/>
            <w:bottom w:val="none" w:sz="0" w:space="0" w:color="auto"/>
            <w:right w:val="none" w:sz="0" w:space="0" w:color="auto"/>
          </w:divBdr>
        </w:div>
        <w:div w:id="1055350749">
          <w:marLeft w:val="1800"/>
          <w:marRight w:val="0"/>
          <w:marTop w:val="86"/>
          <w:marBottom w:val="0"/>
          <w:divBdr>
            <w:top w:val="none" w:sz="0" w:space="0" w:color="auto"/>
            <w:left w:val="none" w:sz="0" w:space="0" w:color="auto"/>
            <w:bottom w:val="none" w:sz="0" w:space="0" w:color="auto"/>
            <w:right w:val="none" w:sz="0" w:space="0" w:color="auto"/>
          </w:divBdr>
        </w:div>
      </w:divsChild>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6550235">
      <w:bodyDiv w:val="1"/>
      <w:marLeft w:val="0"/>
      <w:marRight w:val="0"/>
      <w:marTop w:val="0"/>
      <w:marBottom w:val="0"/>
      <w:divBdr>
        <w:top w:val="none" w:sz="0" w:space="0" w:color="auto"/>
        <w:left w:val="none" w:sz="0" w:space="0" w:color="auto"/>
        <w:bottom w:val="none" w:sz="0" w:space="0" w:color="auto"/>
        <w:right w:val="none" w:sz="0" w:space="0" w:color="auto"/>
      </w:divBdr>
      <w:divsChild>
        <w:div w:id="1690136112">
          <w:marLeft w:val="547"/>
          <w:marRight w:val="0"/>
          <w:marTop w:val="115"/>
          <w:marBottom w:val="0"/>
          <w:divBdr>
            <w:top w:val="none" w:sz="0" w:space="0" w:color="auto"/>
            <w:left w:val="none" w:sz="0" w:space="0" w:color="auto"/>
            <w:bottom w:val="none" w:sz="0" w:space="0" w:color="auto"/>
            <w:right w:val="none" w:sz="0" w:space="0" w:color="auto"/>
          </w:divBdr>
        </w:div>
        <w:div w:id="150829812">
          <w:marLeft w:val="1166"/>
          <w:marRight w:val="0"/>
          <w:marTop w:val="96"/>
          <w:marBottom w:val="0"/>
          <w:divBdr>
            <w:top w:val="none" w:sz="0" w:space="0" w:color="auto"/>
            <w:left w:val="none" w:sz="0" w:space="0" w:color="auto"/>
            <w:bottom w:val="none" w:sz="0" w:space="0" w:color="auto"/>
            <w:right w:val="none" w:sz="0" w:space="0" w:color="auto"/>
          </w:divBdr>
        </w:div>
        <w:div w:id="1841921452">
          <w:marLeft w:val="1166"/>
          <w:marRight w:val="0"/>
          <w:marTop w:val="96"/>
          <w:marBottom w:val="0"/>
          <w:divBdr>
            <w:top w:val="none" w:sz="0" w:space="0" w:color="auto"/>
            <w:left w:val="none" w:sz="0" w:space="0" w:color="auto"/>
            <w:bottom w:val="none" w:sz="0" w:space="0" w:color="auto"/>
            <w:right w:val="none" w:sz="0" w:space="0" w:color="auto"/>
          </w:divBdr>
        </w:div>
        <w:div w:id="1505320154">
          <w:marLeft w:val="1166"/>
          <w:marRight w:val="0"/>
          <w:marTop w:val="96"/>
          <w:marBottom w:val="0"/>
          <w:divBdr>
            <w:top w:val="none" w:sz="0" w:space="0" w:color="auto"/>
            <w:left w:val="none" w:sz="0" w:space="0" w:color="auto"/>
            <w:bottom w:val="none" w:sz="0" w:space="0" w:color="auto"/>
            <w:right w:val="none" w:sz="0" w:space="0" w:color="auto"/>
          </w:divBdr>
        </w:div>
        <w:div w:id="802620495">
          <w:marLeft w:val="1166"/>
          <w:marRight w:val="0"/>
          <w:marTop w:val="96"/>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6BAB-86F2-4186-836E-1BC11E3D6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2</Pages>
  <Words>529</Words>
  <Characters>3017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91</cp:revision>
  <cp:lastPrinted>2020-04-08T05:49:00Z</cp:lastPrinted>
  <dcterms:created xsi:type="dcterms:W3CDTF">2020-04-08T09:11:00Z</dcterms:created>
  <dcterms:modified xsi:type="dcterms:W3CDTF">2020-05-15T01:12:00Z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